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  <w:gridCol w:w="438"/>
        <w:gridCol w:w="1129"/>
        <w:gridCol w:w="232"/>
        <w:gridCol w:w="1789"/>
        <w:gridCol w:w="806"/>
      </w:tblGrid>
      <w:tr w:rsidR="008B4FB9" w:rsidRPr="00C73979" w14:paraId="79FDA568" w14:textId="77777777" w:rsidTr="008B4FB9">
        <w:trPr>
          <w:cantSplit/>
          <w:trHeight w:hRule="exact" w:val="360"/>
        </w:trPr>
        <w:tc>
          <w:tcPr>
            <w:tcW w:w="4954" w:type="dxa"/>
            <w:vMerge w:val="restart"/>
            <w:tcBorders>
              <w:top w:val="single" w:sz="4" w:space="0" w:color="auto"/>
            </w:tcBorders>
          </w:tcPr>
          <w:p w14:paraId="4682FF3A" w14:textId="10743450" w:rsidR="008B4FB9" w:rsidRPr="00C73979" w:rsidRDefault="008B4FB9" w:rsidP="008B4FB9">
            <w:pPr>
              <w:pStyle w:val="A-GuidedBold"/>
              <w:spacing w:before="0" w:after="0"/>
              <w:ind w:left="720" w:hanging="720"/>
              <w:rPr>
                <w:sz w:val="24"/>
                <w:szCs w:val="24"/>
              </w:rPr>
            </w:pPr>
            <w:bookmarkStart w:id="0" w:name="_Toc407025738"/>
            <w:bookmarkStart w:id="1" w:name="_GoBack"/>
            <w:bookmarkEnd w:id="1"/>
            <w:r w:rsidRPr="00C73979">
              <w:rPr>
                <w:noProof/>
                <w:sz w:val="24"/>
                <w:szCs w:val="24"/>
              </w:rPr>
              <w:drawing>
                <wp:inline distT="0" distB="0" distL="0" distR="0" wp14:anchorId="6B9FB454" wp14:editId="1BEBB104">
                  <wp:extent cx="3126799" cy="73533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31" r="939" b="73226"/>
                          <a:stretch/>
                        </pic:blipFill>
                        <pic:spPr bwMode="auto">
                          <a:xfrm>
                            <a:off x="0" y="0"/>
                            <a:ext cx="3184364" cy="74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14:paraId="165EC033" w14:textId="7824D12F" w:rsidR="008B4FB9" w:rsidRPr="00C73979" w:rsidRDefault="008B4FB9" w:rsidP="00512AAA">
            <w:pPr>
              <w:pStyle w:val="A-GuidedBold"/>
              <w:spacing w:before="0" w:after="0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Statistical Analysis Plan</w:t>
            </w:r>
          </w:p>
          <w:p w14:paraId="2A863721" w14:textId="10DA00D6" w:rsidR="008B4FB9" w:rsidRPr="00C73979" w:rsidRDefault="008B4FB9" w:rsidP="00512AAA">
            <w:pPr>
              <w:pStyle w:val="A-GuidedBold"/>
              <w:spacing w:before="0" w:after="0"/>
              <w:rPr>
                <w:sz w:val="24"/>
                <w:szCs w:val="24"/>
              </w:rPr>
            </w:pPr>
          </w:p>
        </w:tc>
      </w:tr>
      <w:tr w:rsidR="008B4FB9" w:rsidRPr="00C73979" w14:paraId="3A854D88" w14:textId="77777777" w:rsidTr="00512AAA">
        <w:trPr>
          <w:cantSplit/>
          <w:trHeight w:hRule="exact" w:val="360"/>
        </w:trPr>
        <w:tc>
          <w:tcPr>
            <w:tcW w:w="4954" w:type="dxa"/>
            <w:vMerge/>
          </w:tcPr>
          <w:p w14:paraId="53FD4A58" w14:textId="77777777" w:rsidR="008B4FB9" w:rsidRPr="00C73979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3719F134" w14:textId="77777777" w:rsidR="008B4FB9" w:rsidRPr="00C73979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Date</w:t>
            </w:r>
          </w:p>
        </w:tc>
        <w:tc>
          <w:tcPr>
            <w:tcW w:w="2827" w:type="dxa"/>
            <w:gridSpan w:val="3"/>
          </w:tcPr>
          <w:p w14:paraId="04413F03" w14:textId="1B1DE94D" w:rsidR="003205B5" w:rsidRPr="00136ED7" w:rsidRDefault="002D425E" w:rsidP="003205B5">
            <w:pPr>
              <w:pStyle w:val="Z-Date"/>
            </w:pPr>
            <w:r w:rsidRPr="00136ED7">
              <w:t>04</w:t>
            </w:r>
            <w:r w:rsidR="00CE64DF" w:rsidRPr="00136ED7">
              <w:t xml:space="preserve"> November </w:t>
            </w:r>
            <w:r w:rsidR="003205B5" w:rsidRPr="00136ED7">
              <w:t>202</w:t>
            </w:r>
            <w:r w:rsidR="00CE64DF" w:rsidRPr="00136ED7">
              <w:t>2</w:t>
            </w:r>
          </w:p>
          <w:p w14:paraId="417F91F6" w14:textId="77777777" w:rsidR="008B4FB9" w:rsidRPr="00136ED7" w:rsidRDefault="008B4FB9" w:rsidP="00512AAA">
            <w:pPr>
              <w:pStyle w:val="Z-Date"/>
            </w:pPr>
          </w:p>
          <w:p w14:paraId="79472C8E" w14:textId="0D4C41A8" w:rsidR="008B4FB9" w:rsidRPr="00136ED7" w:rsidRDefault="008B4FB9" w:rsidP="00512AAA">
            <w:pPr>
              <w:pStyle w:val="Z-Date"/>
            </w:pPr>
          </w:p>
        </w:tc>
      </w:tr>
      <w:tr w:rsidR="008B4FB9" w:rsidRPr="00C73979" w14:paraId="2FD7FF14" w14:textId="77777777" w:rsidTr="00512AAA">
        <w:trPr>
          <w:cantSplit/>
          <w:trHeight w:hRule="exact" w:val="1426"/>
        </w:trPr>
        <w:tc>
          <w:tcPr>
            <w:tcW w:w="4954" w:type="dxa"/>
            <w:vMerge/>
          </w:tcPr>
          <w:p w14:paraId="17AEBF92" w14:textId="77777777" w:rsidR="008B4FB9" w:rsidRPr="00C73979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25F7F7D1" w14:textId="442C6E1F" w:rsidR="008B4FB9" w:rsidRPr="00C73979" w:rsidRDefault="008B4FB9" w:rsidP="00512AAA">
            <w:pPr>
              <w:pStyle w:val="A-Guided"/>
              <w:spacing w:before="0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Authors</w:t>
            </w:r>
          </w:p>
        </w:tc>
        <w:tc>
          <w:tcPr>
            <w:tcW w:w="2827" w:type="dxa"/>
            <w:gridSpan w:val="3"/>
          </w:tcPr>
          <w:p w14:paraId="7F1DA927" w14:textId="77777777" w:rsidR="00CE64DF" w:rsidRDefault="00CE64DF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C73979">
              <w:rPr>
                <w:lang w:val="en-US"/>
              </w:rPr>
              <w:t>Xi Xiong</w:t>
            </w:r>
            <w:r w:rsidRPr="00C73979">
              <w:t xml:space="preserve"> </w:t>
            </w:r>
          </w:p>
          <w:p w14:paraId="240767B9" w14:textId="77777777" w:rsidR="00CE64DF" w:rsidRDefault="00CE64DF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>
              <w:rPr>
                <w:lang w:val="en-US"/>
              </w:rPr>
              <w:t>David Lui</w:t>
            </w:r>
            <w:r w:rsidRPr="00C73979">
              <w:t xml:space="preserve"> </w:t>
            </w:r>
          </w:p>
          <w:p w14:paraId="535A68ED" w14:textId="77777777" w:rsidR="00CE64DF" w:rsidRDefault="00CE64DF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C73979">
              <w:rPr>
                <w:lang w:val="en-US"/>
              </w:rPr>
              <w:t>Carlos Wong</w:t>
            </w:r>
            <w:r w:rsidRPr="00C73979">
              <w:t xml:space="preserve"> </w:t>
            </w:r>
          </w:p>
          <w:p w14:paraId="54EC9F08" w14:textId="149DC675" w:rsidR="00CE64DF" w:rsidRDefault="00CE64DF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CF2F75">
              <w:t>Matthew Chung</w:t>
            </w:r>
            <w:r w:rsidRPr="00C73979">
              <w:t xml:space="preserve"> </w:t>
            </w:r>
          </w:p>
          <w:p w14:paraId="34EAD41C" w14:textId="6C356EE5" w:rsidR="008B4FB9" w:rsidRPr="00C73979" w:rsidRDefault="00CE64DF" w:rsidP="00022DD6">
            <w:pPr>
              <w:pStyle w:val="Z-Date"/>
              <w:numPr>
                <w:ilvl w:val="0"/>
                <w:numId w:val="4"/>
              </w:numPr>
              <w:ind w:left="309" w:hanging="309"/>
            </w:pPr>
            <w:r w:rsidRPr="00CF2F75">
              <w:t>Ivan Au</w:t>
            </w:r>
          </w:p>
        </w:tc>
      </w:tr>
      <w:tr w:rsidR="00110F03" w:rsidRPr="00C73979" w14:paraId="34A09AC9" w14:textId="77777777" w:rsidTr="005F24B7">
        <w:trPr>
          <w:cantSplit/>
          <w:trHeight w:hRule="exact" w:val="360"/>
        </w:trPr>
        <w:tc>
          <w:tcPr>
            <w:tcW w:w="4954" w:type="dxa"/>
          </w:tcPr>
          <w:p w14:paraId="26FC1D52" w14:textId="77777777" w:rsidR="00110F03" w:rsidRPr="00C73979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</w:tcPr>
          <w:p w14:paraId="30FD8E22" w14:textId="77777777" w:rsidR="00110F03" w:rsidRPr="00C73979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</w:tcBorders>
            <w:vAlign w:val="center"/>
          </w:tcPr>
          <w:p w14:paraId="0A4282CD" w14:textId="77777777" w:rsidR="00110F03" w:rsidRPr="00C73979" w:rsidRDefault="00110F03" w:rsidP="003039F3">
            <w:pPr>
              <w:rPr>
                <w:szCs w:val="24"/>
              </w:rPr>
            </w:pPr>
          </w:p>
        </w:tc>
      </w:tr>
      <w:tr w:rsidR="00110F03" w:rsidRPr="00C73979" w14:paraId="5E83351A" w14:textId="77777777" w:rsidTr="005F24B7">
        <w:trPr>
          <w:cantSplit/>
          <w:trHeight w:hRule="exact" w:val="360"/>
        </w:trPr>
        <w:tc>
          <w:tcPr>
            <w:tcW w:w="4954" w:type="dxa"/>
          </w:tcPr>
          <w:p w14:paraId="105EE039" w14:textId="77777777" w:rsidR="00110F03" w:rsidRPr="00C73979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22CC9DF6" w14:textId="77777777" w:rsidR="00110F03" w:rsidRPr="00C73979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14:paraId="1ED4A323" w14:textId="77777777" w:rsidR="00110F03" w:rsidRPr="00C73979" w:rsidRDefault="00110F03" w:rsidP="003039F3">
            <w:pPr>
              <w:rPr>
                <w:szCs w:val="24"/>
              </w:rPr>
            </w:pPr>
          </w:p>
        </w:tc>
      </w:tr>
      <w:tr w:rsidR="00110F03" w:rsidRPr="00C73979" w14:paraId="03816A60" w14:textId="77777777" w:rsidTr="005F24B7">
        <w:trPr>
          <w:cantSplit/>
          <w:trHeight w:hRule="exact" w:val="360"/>
        </w:trPr>
        <w:tc>
          <w:tcPr>
            <w:tcW w:w="4954" w:type="dxa"/>
          </w:tcPr>
          <w:p w14:paraId="6A9919E8" w14:textId="77777777" w:rsidR="00110F03" w:rsidRPr="00C73979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0E83D5F7" w14:textId="77777777" w:rsidR="00110F03" w:rsidRPr="00C73979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14:paraId="72B421CB" w14:textId="77777777" w:rsidR="00110F03" w:rsidRPr="00C73979" w:rsidRDefault="00110F03" w:rsidP="003039F3">
            <w:pPr>
              <w:rPr>
                <w:szCs w:val="24"/>
              </w:rPr>
            </w:pPr>
          </w:p>
        </w:tc>
      </w:tr>
      <w:tr w:rsidR="00110F03" w:rsidRPr="00C73979" w14:paraId="729D5E80" w14:textId="77777777" w:rsidTr="005F24B7">
        <w:trPr>
          <w:cantSplit/>
          <w:trHeight w:hRule="exact" w:val="360"/>
        </w:trPr>
        <w:tc>
          <w:tcPr>
            <w:tcW w:w="4954" w:type="dxa"/>
          </w:tcPr>
          <w:p w14:paraId="16DAA1A5" w14:textId="77777777" w:rsidR="00110F03" w:rsidRPr="00C73979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5C77F654" w14:textId="77777777" w:rsidR="00110F03" w:rsidRPr="00C73979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14:paraId="0131E7FC" w14:textId="77777777" w:rsidR="00110F03" w:rsidRPr="00C73979" w:rsidRDefault="00110F03" w:rsidP="003039F3">
            <w:pPr>
              <w:rPr>
                <w:szCs w:val="24"/>
              </w:rPr>
            </w:pPr>
          </w:p>
        </w:tc>
      </w:tr>
      <w:tr w:rsidR="00110F03" w:rsidRPr="00C73979" w14:paraId="44BEB421" w14:textId="77777777" w:rsidTr="005F24B7">
        <w:trPr>
          <w:cantSplit/>
        </w:trPr>
        <w:tc>
          <w:tcPr>
            <w:tcW w:w="9348" w:type="dxa"/>
            <w:gridSpan w:val="6"/>
          </w:tcPr>
          <w:tbl>
            <w:tblPr>
              <w:tblW w:w="9093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3"/>
            </w:tblGrid>
            <w:tr w:rsidR="005F5F7E" w:rsidRPr="00C73979" w14:paraId="5C87A53B" w14:textId="77777777" w:rsidTr="00316801">
              <w:trPr>
                <w:cantSplit/>
              </w:trPr>
              <w:tc>
                <w:tcPr>
                  <w:tcW w:w="9093" w:type="dxa"/>
                  <w:tcBorders>
                    <w:top w:val="single" w:sz="24" w:space="0" w:color="auto"/>
                  </w:tcBorders>
                </w:tcPr>
                <w:p w14:paraId="678E6362" w14:textId="7ADB9E2D" w:rsidR="005F5F7E" w:rsidRPr="00C73979" w:rsidRDefault="00512AAA" w:rsidP="002E16CC">
                  <w:pPr>
                    <w:pStyle w:val="A-Guided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73979">
                    <w:rPr>
                      <w:b/>
                      <w:bCs/>
                      <w:sz w:val="24"/>
                      <w:szCs w:val="24"/>
                      <w:lang w:val="en-US"/>
                    </w:rPr>
                    <w:t>Title of Proposed Research (with subtitle specifying the design, e.g., case-control)</w:t>
                  </w:r>
                </w:p>
              </w:tc>
            </w:tr>
            <w:tr w:rsidR="005F5F7E" w:rsidRPr="00C73979" w14:paraId="1067EAEA" w14:textId="77777777" w:rsidTr="00316801">
              <w:trPr>
                <w:cantSplit/>
              </w:trPr>
              <w:tc>
                <w:tcPr>
                  <w:tcW w:w="9093" w:type="dxa"/>
                </w:tcPr>
                <w:p w14:paraId="0CE34A91" w14:textId="4BEC77F0" w:rsidR="002967DA" w:rsidRPr="00C73979" w:rsidRDefault="003205B5" w:rsidP="001162DB">
                  <w:pPr>
                    <w:pStyle w:val="A-StudyTitle"/>
                    <w:rPr>
                      <w:b w:val="0"/>
                      <w:sz w:val="24"/>
                      <w:szCs w:val="24"/>
                    </w:rPr>
                  </w:pPr>
                  <w:r w:rsidRPr="00C73979">
                    <w:rPr>
                      <w:b w:val="0"/>
                      <w:sz w:val="24"/>
                      <w:szCs w:val="24"/>
                    </w:rPr>
                    <w:t xml:space="preserve">Risk of </w:t>
                  </w:r>
                  <w:r w:rsidRPr="00C73979">
                    <w:rPr>
                      <w:b w:val="0"/>
                      <w:sz w:val="24"/>
                      <w:szCs w:val="24"/>
                      <w:lang w:eastAsia="zh-TW"/>
                    </w:rPr>
                    <w:t xml:space="preserve">incident </w:t>
                  </w:r>
                  <w:r w:rsidRPr="00C73979">
                    <w:rPr>
                      <w:b w:val="0"/>
                      <w:sz w:val="24"/>
                      <w:szCs w:val="24"/>
                    </w:rPr>
                    <w:t>diabetes mellitus associated with mRNA</w:t>
                  </w:r>
                  <w:r w:rsidR="007A39B7">
                    <w:rPr>
                      <w:b w:val="0"/>
                      <w:sz w:val="24"/>
                      <w:szCs w:val="24"/>
                    </w:rPr>
                    <w:t xml:space="preserve">, </w:t>
                  </w:r>
                  <w:r w:rsidRPr="00C73979">
                    <w:rPr>
                      <w:b w:val="0"/>
                      <w:sz w:val="24"/>
                      <w:szCs w:val="24"/>
                    </w:rPr>
                    <w:t xml:space="preserve">inactivated </w:t>
                  </w:r>
                  <w:r w:rsidR="00D35AED" w:rsidRPr="00D35AED">
                    <w:rPr>
                      <w:b w:val="0"/>
                      <w:sz w:val="24"/>
                      <w:szCs w:val="24"/>
                    </w:rPr>
                    <w:t xml:space="preserve">COVID-19 </w:t>
                  </w:r>
                  <w:r w:rsidRPr="00C73979">
                    <w:rPr>
                      <w:b w:val="0"/>
                      <w:sz w:val="24"/>
                      <w:szCs w:val="24"/>
                    </w:rPr>
                    <w:t>vaccines</w:t>
                  </w:r>
                  <w:r w:rsidR="007A39B7">
                    <w:rPr>
                      <w:b w:val="0"/>
                      <w:sz w:val="24"/>
                      <w:szCs w:val="24"/>
                    </w:rPr>
                    <w:t xml:space="preserve"> and COVID-19 infection</w:t>
                  </w:r>
                  <w:r w:rsidRPr="00C73979">
                    <w:rPr>
                      <w:b w:val="0"/>
                      <w:sz w:val="24"/>
                      <w:szCs w:val="24"/>
                    </w:rPr>
                    <w:t xml:space="preserve">: a </w:t>
                  </w:r>
                  <w:r w:rsidR="00D35AED" w:rsidRPr="00C73979">
                    <w:rPr>
                      <w:b w:val="0"/>
                      <w:sz w:val="24"/>
                      <w:szCs w:val="24"/>
                    </w:rPr>
                    <w:t>population-based</w:t>
                  </w:r>
                  <w:r w:rsidRPr="00C73979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D35AED">
                    <w:rPr>
                      <w:b w:val="0"/>
                      <w:sz w:val="24"/>
                      <w:szCs w:val="24"/>
                    </w:rPr>
                    <w:t>cohort</w:t>
                  </w:r>
                  <w:r w:rsidRPr="00C73979">
                    <w:rPr>
                      <w:b w:val="0"/>
                      <w:sz w:val="24"/>
                      <w:szCs w:val="24"/>
                    </w:rPr>
                    <w:t xml:space="preserve"> study</w:t>
                  </w:r>
                </w:p>
                <w:p w14:paraId="31FB24DD" w14:textId="77777777" w:rsidR="003205B5" w:rsidRPr="00C73979" w:rsidRDefault="003205B5" w:rsidP="001162DB">
                  <w:pPr>
                    <w:pStyle w:val="A-StudyTitle"/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  <w:p w14:paraId="61FCD3C6" w14:textId="010E011B" w:rsidR="00F04EF2" w:rsidRPr="00C73979" w:rsidRDefault="002967DA" w:rsidP="002266B3">
                  <w:pPr>
                    <w:pStyle w:val="A-StudyTitle"/>
                    <w:rPr>
                      <w:b w:val="0"/>
                      <w:sz w:val="24"/>
                      <w:szCs w:val="24"/>
                      <w:lang w:val="en-US"/>
                    </w:rPr>
                  </w:pPr>
                  <w:r w:rsidRPr="00C73979">
                    <w:rPr>
                      <w:b w:val="0"/>
                      <w:sz w:val="24"/>
                      <w:szCs w:val="24"/>
                      <w:lang w:val="en-US"/>
                    </w:rPr>
                    <w:t>This Statistical Analysis Plan describes definitions and outcomes in this study</w:t>
                  </w:r>
                  <w:r w:rsidR="00F04EF2" w:rsidRPr="00C73979">
                    <w:rPr>
                      <w:b w:val="0"/>
                      <w:sz w:val="24"/>
                      <w:szCs w:val="24"/>
                      <w:lang w:val="en-US"/>
                    </w:rPr>
                    <w:t>,</w:t>
                  </w:r>
                  <w:r w:rsidRPr="00C73979">
                    <w:rPr>
                      <w:b w:val="0"/>
                      <w:sz w:val="24"/>
                      <w:szCs w:val="24"/>
                      <w:lang w:val="en-US"/>
                    </w:rPr>
                    <w:t xml:space="preserve"> which will</w:t>
                  </w:r>
                  <w:r w:rsidR="00512AAA" w:rsidRPr="00C73979">
                    <w:rPr>
                      <w:b w:val="0"/>
                      <w:sz w:val="24"/>
                      <w:szCs w:val="24"/>
                      <w:lang w:val="en-US"/>
                    </w:rPr>
                    <w:t>… (state objective</w:t>
                  </w:r>
                  <w:r w:rsidR="0061282C" w:rsidRPr="00C73979">
                    <w:rPr>
                      <w:b w:val="0"/>
                      <w:sz w:val="24"/>
                      <w:szCs w:val="24"/>
                      <w:lang w:val="en-US"/>
                    </w:rPr>
                    <w:t>s</w:t>
                  </w:r>
                  <w:r w:rsidR="00512AAA" w:rsidRPr="00C73979">
                    <w:rPr>
                      <w:b w:val="0"/>
                      <w:sz w:val="24"/>
                      <w:szCs w:val="24"/>
                      <w:lang w:val="en-US"/>
                    </w:rPr>
                    <w:t xml:space="preserve"> briefly, specifying the PICO</w:t>
                  </w:r>
                  <w:r w:rsidR="001F525D" w:rsidRPr="00C73979">
                    <w:rPr>
                      <w:b w:val="0"/>
                      <w:sz w:val="24"/>
                      <w:szCs w:val="24"/>
                      <w:lang w:val="en-US"/>
                    </w:rPr>
                    <w:t>, &lt;100 words</w:t>
                  </w:r>
                  <w:r w:rsidR="00512AAA" w:rsidRPr="00C73979">
                    <w:rPr>
                      <w:b w:val="0"/>
                      <w:sz w:val="24"/>
                      <w:szCs w:val="24"/>
                      <w:lang w:val="en-US"/>
                    </w:rPr>
                    <w:t>)</w:t>
                  </w:r>
                  <w:r w:rsidR="00BA190D" w:rsidRPr="00C73979">
                    <w:rPr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5ADAA139" w14:textId="29E80A9A" w:rsidR="00F04EF2" w:rsidRPr="00C73979" w:rsidRDefault="003205B5" w:rsidP="002266B3">
                  <w:pPr>
                    <w:pStyle w:val="A-StudyTitle"/>
                    <w:rPr>
                      <w:b w:val="0"/>
                      <w:sz w:val="24"/>
                      <w:szCs w:val="24"/>
                      <w:lang w:val="en-US" w:eastAsia="zh-TW"/>
                    </w:rPr>
                  </w:pPr>
                  <w:r w:rsidRPr="00C73979">
                    <w:rPr>
                      <w:b w:val="0"/>
                      <w:sz w:val="24"/>
                      <w:szCs w:val="24"/>
                      <w:lang w:eastAsia="zh-TW"/>
                    </w:rPr>
                    <w:t xml:space="preserve">We will conduct a population-based study to evaluate the risks of incident </w:t>
                  </w:r>
                  <w:r w:rsidRPr="00C73979">
                    <w:rPr>
                      <w:b w:val="0"/>
                      <w:sz w:val="24"/>
                      <w:szCs w:val="24"/>
                    </w:rPr>
                    <w:t xml:space="preserve">diabetes mellitus </w:t>
                  </w:r>
                  <w:r w:rsidRPr="00C73979">
                    <w:rPr>
                      <w:b w:val="0"/>
                      <w:sz w:val="24"/>
                      <w:szCs w:val="24"/>
                      <w:lang w:eastAsia="zh-TW"/>
                    </w:rPr>
                    <w:t xml:space="preserve">associated with </w:t>
                  </w:r>
                  <w:r w:rsidR="00D35AED" w:rsidRPr="00C73979">
                    <w:rPr>
                      <w:b w:val="0"/>
                      <w:sz w:val="24"/>
                      <w:szCs w:val="24"/>
                    </w:rPr>
                    <w:t>mRNA</w:t>
                  </w:r>
                  <w:r w:rsidR="007A39B7">
                    <w:rPr>
                      <w:b w:val="0"/>
                      <w:sz w:val="24"/>
                      <w:szCs w:val="24"/>
                    </w:rPr>
                    <w:t xml:space="preserve">, </w:t>
                  </w:r>
                  <w:r w:rsidR="00D35AED" w:rsidRPr="00C73979">
                    <w:rPr>
                      <w:b w:val="0"/>
                      <w:sz w:val="24"/>
                      <w:szCs w:val="24"/>
                    </w:rPr>
                    <w:t xml:space="preserve">inactivated </w:t>
                  </w:r>
                  <w:r w:rsidR="00D35AED" w:rsidRPr="00D35AED">
                    <w:rPr>
                      <w:b w:val="0"/>
                      <w:sz w:val="24"/>
                      <w:szCs w:val="24"/>
                    </w:rPr>
                    <w:t>COVID-19</w:t>
                  </w:r>
                  <w:r w:rsidR="007A39B7">
                    <w:rPr>
                      <w:b w:val="0"/>
                      <w:sz w:val="24"/>
                      <w:szCs w:val="24"/>
                    </w:rPr>
                    <w:t xml:space="preserve"> vaccines and COVID-19 infection</w:t>
                  </w:r>
                  <w:r w:rsidR="004C59F5">
                    <w:rPr>
                      <w:b w:val="0"/>
                      <w:sz w:val="24"/>
                      <w:szCs w:val="24"/>
                      <w:lang w:eastAsia="zh-TW"/>
                    </w:rPr>
                    <w:t>.</w:t>
                  </w:r>
                </w:p>
              </w:tc>
            </w:tr>
          </w:tbl>
          <w:p w14:paraId="7DABD95D" w14:textId="77777777" w:rsidR="00110F03" w:rsidRPr="00C73979" w:rsidRDefault="00110F03" w:rsidP="003039F3">
            <w:pPr>
              <w:pStyle w:val="A-StudyTitle"/>
              <w:rPr>
                <w:sz w:val="24"/>
                <w:szCs w:val="24"/>
              </w:rPr>
            </w:pPr>
          </w:p>
        </w:tc>
      </w:tr>
      <w:tr w:rsidR="00110F03" w:rsidRPr="00C73979" w14:paraId="24F1AEDD" w14:textId="77777777" w:rsidTr="005F24B7">
        <w:trPr>
          <w:cantSplit/>
          <w:trHeight w:hRule="exact" w:val="240"/>
        </w:trPr>
        <w:tc>
          <w:tcPr>
            <w:tcW w:w="9348" w:type="dxa"/>
            <w:gridSpan w:val="6"/>
            <w:tcBorders>
              <w:bottom w:val="single" w:sz="24" w:space="0" w:color="auto"/>
            </w:tcBorders>
          </w:tcPr>
          <w:p w14:paraId="63112CD4" w14:textId="5377B2FB" w:rsidR="00110F03" w:rsidRPr="00C73979" w:rsidRDefault="00110F03" w:rsidP="003039F3">
            <w:pPr>
              <w:pStyle w:val="A-Heading1"/>
              <w:rPr>
                <w:sz w:val="24"/>
                <w:szCs w:val="24"/>
              </w:rPr>
            </w:pPr>
            <w:bookmarkStart w:id="2" w:name="_Toc34041934"/>
            <w:bookmarkStart w:id="3" w:name="_Toc34120299"/>
            <w:bookmarkStart w:id="4" w:name="_Toc98844142"/>
            <w:r w:rsidRPr="00C73979">
              <w:rPr>
                <w:sz w:val="24"/>
                <w:szCs w:val="24"/>
              </w:rPr>
              <w:t>title page</w:t>
            </w:r>
            <w:bookmarkEnd w:id="2"/>
            <w:bookmarkEnd w:id="3"/>
            <w:bookmarkEnd w:id="4"/>
          </w:p>
        </w:tc>
      </w:tr>
      <w:tr w:rsidR="00110F03" w:rsidRPr="00C73979" w14:paraId="0AB042A2" w14:textId="77777777" w:rsidTr="005F24B7">
        <w:trPr>
          <w:cantSplit/>
        </w:trPr>
        <w:tc>
          <w:tcPr>
            <w:tcW w:w="9348" w:type="dxa"/>
            <w:gridSpan w:val="6"/>
          </w:tcPr>
          <w:p w14:paraId="66CE12B3" w14:textId="77777777" w:rsidR="00110F03" w:rsidRPr="00C73979" w:rsidRDefault="00110F03" w:rsidP="003039F3">
            <w:pPr>
              <w:pStyle w:val="A-Guided"/>
              <w:rPr>
                <w:sz w:val="24"/>
                <w:szCs w:val="24"/>
              </w:rPr>
            </w:pPr>
          </w:p>
        </w:tc>
      </w:tr>
      <w:tr w:rsidR="005D259D" w:rsidRPr="00C73979" w14:paraId="1CF5005C" w14:textId="77777777" w:rsidTr="0033552C">
        <w:trPr>
          <w:cantSplit/>
        </w:trPr>
        <w:tc>
          <w:tcPr>
            <w:tcW w:w="5392" w:type="dxa"/>
            <w:gridSpan w:val="2"/>
          </w:tcPr>
          <w:p w14:paraId="4F9EB35B" w14:textId="6FD00A66" w:rsidR="005D259D" w:rsidRPr="00C73979" w:rsidRDefault="005D259D" w:rsidP="003039F3">
            <w:pPr>
              <w:pStyle w:val="A-GuidedBold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Principal investigator(s):</w:t>
            </w:r>
            <w:r w:rsidR="00AA220D" w:rsidRPr="00C739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56" w:type="dxa"/>
            <w:gridSpan w:val="4"/>
          </w:tcPr>
          <w:p w14:paraId="165383D3" w14:textId="6C4AB1F6" w:rsidR="005D259D" w:rsidRPr="00C73979" w:rsidRDefault="00A4627F" w:rsidP="003039F3">
            <w:pPr>
              <w:pStyle w:val="A-Guided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  <w:lang w:val="en-US"/>
              </w:rPr>
              <w:t xml:space="preserve">Carlos Wong, </w:t>
            </w:r>
            <w:r w:rsidR="00665BE5">
              <w:rPr>
                <w:sz w:val="24"/>
                <w:szCs w:val="24"/>
                <w:lang w:val="en-US"/>
              </w:rPr>
              <w:t xml:space="preserve">David Lui, </w:t>
            </w:r>
            <w:r w:rsidRPr="00C73979">
              <w:rPr>
                <w:sz w:val="24"/>
                <w:szCs w:val="24"/>
                <w:lang w:val="en-US"/>
              </w:rPr>
              <w:t>Xi Xiong</w:t>
            </w:r>
          </w:p>
        </w:tc>
      </w:tr>
      <w:tr w:rsidR="00110F03" w:rsidRPr="00C73979" w14:paraId="5D42EDC5" w14:textId="77777777" w:rsidTr="0033552C">
        <w:trPr>
          <w:cantSplit/>
        </w:trPr>
        <w:tc>
          <w:tcPr>
            <w:tcW w:w="5392" w:type="dxa"/>
            <w:gridSpan w:val="2"/>
          </w:tcPr>
          <w:p w14:paraId="26F90005" w14:textId="24C11BE9" w:rsidR="00110F03" w:rsidRPr="00C73979" w:rsidRDefault="005D259D" w:rsidP="003039F3">
            <w:pPr>
              <w:pStyle w:val="A-GuidedBold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 xml:space="preserve">Nominated </w:t>
            </w:r>
            <w:r w:rsidR="004A63B6" w:rsidRPr="00C73979">
              <w:rPr>
                <w:sz w:val="24"/>
                <w:szCs w:val="24"/>
              </w:rPr>
              <w:t xml:space="preserve">main </w:t>
            </w:r>
            <w:r w:rsidRPr="00C73979">
              <w:rPr>
                <w:sz w:val="24"/>
                <w:szCs w:val="24"/>
              </w:rPr>
              <w:t>analyst(s):</w:t>
            </w:r>
            <w:r w:rsidR="00AA220D" w:rsidRPr="00C739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gridSpan w:val="4"/>
          </w:tcPr>
          <w:p w14:paraId="39827803" w14:textId="1F58906A" w:rsidR="00110F03" w:rsidRPr="00C73979" w:rsidRDefault="00A4627F" w:rsidP="003039F3">
            <w:pPr>
              <w:pStyle w:val="A-Guided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Xi Xiong</w:t>
            </w:r>
          </w:p>
        </w:tc>
      </w:tr>
      <w:tr w:rsidR="00110F03" w:rsidRPr="00C73979" w14:paraId="48AC9C40" w14:textId="77777777" w:rsidTr="008F58DC">
        <w:trPr>
          <w:cantSplit/>
        </w:trPr>
        <w:tc>
          <w:tcPr>
            <w:tcW w:w="5392" w:type="dxa"/>
            <w:gridSpan w:val="2"/>
          </w:tcPr>
          <w:p w14:paraId="6BA880DF" w14:textId="29BFC75F" w:rsidR="00110F03" w:rsidRPr="00C73979" w:rsidRDefault="005D259D" w:rsidP="003039F3">
            <w:pPr>
              <w:pStyle w:val="A-GuidedBold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N</w:t>
            </w:r>
            <w:r w:rsidRPr="00C73979">
              <w:rPr>
                <w:rFonts w:hint="eastAsia"/>
                <w:sz w:val="24"/>
                <w:szCs w:val="24"/>
              </w:rPr>
              <w:t>o</w:t>
            </w:r>
            <w:r w:rsidRPr="00C73979">
              <w:rPr>
                <w:sz w:val="24"/>
                <w:szCs w:val="24"/>
              </w:rPr>
              <w:t xml:space="preserve">minated </w:t>
            </w:r>
            <w:r w:rsidR="0033552C" w:rsidRPr="00C73979">
              <w:rPr>
                <w:sz w:val="24"/>
                <w:szCs w:val="24"/>
              </w:rPr>
              <w:t>second/third independent analyst</w:t>
            </w:r>
            <w:r w:rsidRPr="00C73979">
              <w:rPr>
                <w:sz w:val="24"/>
                <w:szCs w:val="24"/>
              </w:rPr>
              <w:t>(s):</w:t>
            </w:r>
            <w:r w:rsidR="00CF2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gridSpan w:val="4"/>
          </w:tcPr>
          <w:p w14:paraId="3A64D0D7" w14:textId="2C46FB76" w:rsidR="00110F03" w:rsidRPr="00C73979" w:rsidRDefault="00A4627F" w:rsidP="003039F3">
            <w:pPr>
              <w:pStyle w:val="A-Guided"/>
              <w:rPr>
                <w:sz w:val="24"/>
                <w:szCs w:val="24"/>
              </w:rPr>
            </w:pPr>
            <w:r w:rsidRPr="00CF2F75">
              <w:rPr>
                <w:sz w:val="24"/>
                <w:szCs w:val="24"/>
              </w:rPr>
              <w:t>Matthew Chung</w:t>
            </w:r>
            <w:r w:rsidR="00DE5BFB">
              <w:rPr>
                <w:sz w:val="24"/>
                <w:szCs w:val="24"/>
              </w:rPr>
              <w:t>/</w:t>
            </w:r>
            <w:r w:rsidR="00DE5BFB" w:rsidRPr="00CF2F75">
              <w:rPr>
                <w:sz w:val="24"/>
                <w:szCs w:val="24"/>
              </w:rPr>
              <w:t>Ivan Au</w:t>
            </w:r>
          </w:p>
        </w:tc>
      </w:tr>
      <w:tr w:rsidR="008F58DC" w:rsidRPr="00C73979" w14:paraId="3EC254BA" w14:textId="5CAE339E" w:rsidTr="008F58DC">
        <w:trPr>
          <w:cantSplit/>
        </w:trPr>
        <w:tc>
          <w:tcPr>
            <w:tcW w:w="5392" w:type="dxa"/>
            <w:gridSpan w:val="2"/>
          </w:tcPr>
          <w:p w14:paraId="101943A2" w14:textId="48DA5052" w:rsidR="008F58DC" w:rsidRPr="00C73979" w:rsidRDefault="008F58DC" w:rsidP="003039F3">
            <w:pPr>
              <w:pStyle w:val="A-GuidedBold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Publicly available on CSMPR</w:t>
            </w:r>
            <w:r w:rsidR="00966109" w:rsidRPr="00C73979">
              <w:rPr>
                <w:sz w:val="24"/>
                <w:szCs w:val="24"/>
              </w:rPr>
              <w:t xml:space="preserve"> or other</w:t>
            </w:r>
            <w:r w:rsidRPr="00C73979">
              <w:rPr>
                <w:sz w:val="24"/>
                <w:szCs w:val="24"/>
              </w:rPr>
              <w:t xml:space="preserve"> website</w:t>
            </w:r>
            <w:r w:rsidR="00966109" w:rsidRPr="00C73979">
              <w:rPr>
                <w:sz w:val="24"/>
                <w:szCs w:val="24"/>
              </w:rPr>
              <w:t>s</w:t>
            </w:r>
            <w:r w:rsidRPr="00C73979">
              <w:rPr>
                <w:sz w:val="24"/>
                <w:szCs w:val="24"/>
              </w:rPr>
              <w:t>?</w:t>
            </w:r>
          </w:p>
        </w:tc>
        <w:tc>
          <w:tcPr>
            <w:tcW w:w="1361" w:type="dxa"/>
            <w:gridSpan w:val="2"/>
          </w:tcPr>
          <w:p w14:paraId="34446423" w14:textId="4DEBA014" w:rsidR="008F58DC" w:rsidRPr="00C73979" w:rsidRDefault="008F58DC" w:rsidP="003039F3">
            <w:pPr>
              <w:pStyle w:val="A-Guided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68659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73979">
              <w:rPr>
                <w:sz w:val="24"/>
                <w:szCs w:val="24"/>
              </w:rPr>
              <w:t xml:space="preserve"> Date: 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68071D3" w14:textId="77777777" w:rsidR="008F58DC" w:rsidRPr="00C73979" w:rsidRDefault="008F58DC" w:rsidP="008F58DC">
            <w:pPr>
              <w:pStyle w:val="A-Guided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21FF0C37" w14:textId="6599C0A5" w:rsidR="008F58DC" w:rsidRPr="00C73979" w:rsidRDefault="008F58DC" w:rsidP="003039F3">
            <w:pPr>
              <w:pStyle w:val="A-Guided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9039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6407217" w14:textId="77777777" w:rsidR="008F58DC" w:rsidRPr="00C73979" w:rsidRDefault="008F58DC" w:rsidP="003E3BCE">
      <w:pPr>
        <w:jc w:val="right"/>
        <w:rPr>
          <w:szCs w:val="24"/>
        </w:rPr>
      </w:pPr>
    </w:p>
    <w:p w14:paraId="0D3BDBF8" w14:textId="77777777" w:rsidR="00110F03" w:rsidRPr="00C73979" w:rsidRDefault="00110F03" w:rsidP="00110F03">
      <w:pPr>
        <w:pStyle w:val="A-Heading1"/>
        <w:pageBreakBefore/>
        <w:rPr>
          <w:sz w:val="24"/>
          <w:szCs w:val="24"/>
        </w:rPr>
      </w:pPr>
      <w:bookmarkStart w:id="5" w:name="_Toc34041936"/>
      <w:bookmarkStart w:id="6" w:name="_Toc34120301"/>
      <w:bookmarkStart w:id="7" w:name="_Toc98844143"/>
      <w:r w:rsidRPr="00C73979">
        <w:rPr>
          <w:sz w:val="24"/>
          <w:szCs w:val="24"/>
        </w:rPr>
        <w:lastRenderedPageBreak/>
        <w:t>List Of Abbreviations</w:t>
      </w:r>
      <w:bookmarkEnd w:id="5"/>
      <w:bookmarkEnd w:id="6"/>
      <w:bookmarkEnd w:id="7"/>
    </w:p>
    <w:tbl>
      <w:tblPr>
        <w:tblStyle w:val="TableGrid"/>
        <w:tblW w:w="9317" w:type="dxa"/>
        <w:tblLayout w:type="fixed"/>
        <w:tblLook w:val="0620" w:firstRow="1" w:lastRow="0" w:firstColumn="0" w:lastColumn="0" w:noHBand="1" w:noVBand="1"/>
      </w:tblPr>
      <w:tblGrid>
        <w:gridCol w:w="1885"/>
        <w:gridCol w:w="7432"/>
      </w:tblGrid>
      <w:tr w:rsidR="00BA7EB0" w:rsidRPr="00C73979" w14:paraId="0AEB10CD" w14:textId="77777777" w:rsidTr="001F525D">
        <w:tc>
          <w:tcPr>
            <w:tcW w:w="1885" w:type="dxa"/>
          </w:tcPr>
          <w:p w14:paraId="4C727D81" w14:textId="77777777" w:rsidR="00BA7EB0" w:rsidRPr="00C73979" w:rsidRDefault="00BA7EB0" w:rsidP="00BA7EB0">
            <w:pPr>
              <w:keepNext/>
              <w:spacing w:before="60" w:after="60" w:line="240" w:lineRule="auto"/>
              <w:rPr>
                <w:b/>
                <w:szCs w:val="24"/>
                <w:lang w:val="en-US"/>
              </w:rPr>
            </w:pPr>
            <w:r w:rsidRPr="00C73979">
              <w:rPr>
                <w:b/>
                <w:szCs w:val="24"/>
                <w:lang w:val="en-US"/>
              </w:rPr>
              <w:t>Abbreviation or special term</w:t>
            </w:r>
          </w:p>
        </w:tc>
        <w:tc>
          <w:tcPr>
            <w:tcW w:w="7432" w:type="dxa"/>
          </w:tcPr>
          <w:p w14:paraId="5F45917B" w14:textId="77777777" w:rsidR="00BA7EB0" w:rsidRPr="00C73979" w:rsidRDefault="00BA7EB0" w:rsidP="00BA7EB0">
            <w:pPr>
              <w:keepNext/>
              <w:spacing w:before="60" w:after="60" w:line="240" w:lineRule="auto"/>
              <w:rPr>
                <w:b/>
                <w:szCs w:val="24"/>
                <w:lang w:val="en-US"/>
              </w:rPr>
            </w:pPr>
            <w:r w:rsidRPr="00C73979">
              <w:rPr>
                <w:b/>
                <w:szCs w:val="24"/>
                <w:lang w:val="en-US"/>
              </w:rPr>
              <w:t>Explanation</w:t>
            </w:r>
          </w:p>
        </w:tc>
      </w:tr>
      <w:tr w:rsidR="0085482B" w:rsidRPr="00C73979" w14:paraId="1C1B8744" w14:textId="77777777" w:rsidTr="00F02105">
        <w:tc>
          <w:tcPr>
            <w:tcW w:w="1885" w:type="dxa"/>
            <w:vAlign w:val="center"/>
          </w:tcPr>
          <w:p w14:paraId="546CEADE" w14:textId="38ADDC6F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</w:rPr>
              <w:t>ACE2</w:t>
            </w:r>
          </w:p>
        </w:tc>
        <w:tc>
          <w:tcPr>
            <w:tcW w:w="7432" w:type="dxa"/>
            <w:vAlign w:val="center"/>
          </w:tcPr>
          <w:p w14:paraId="717B23DB" w14:textId="5389972A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</w:rPr>
              <w:t>Angiotensin‐converting Enzyme 2</w:t>
            </w:r>
          </w:p>
        </w:tc>
      </w:tr>
      <w:tr w:rsidR="0085482B" w:rsidRPr="00C73979" w14:paraId="53DC38E7" w14:textId="77777777" w:rsidTr="00F02105">
        <w:tc>
          <w:tcPr>
            <w:tcW w:w="1885" w:type="dxa"/>
            <w:vAlign w:val="center"/>
          </w:tcPr>
          <w:p w14:paraId="03A4EF9F" w14:textId="1DCBF34C" w:rsidR="0085482B" w:rsidRPr="0069402F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CIs</w:t>
            </w:r>
          </w:p>
        </w:tc>
        <w:tc>
          <w:tcPr>
            <w:tcW w:w="7432" w:type="dxa"/>
            <w:vAlign w:val="center"/>
          </w:tcPr>
          <w:p w14:paraId="69895058" w14:textId="4CDFAB5A" w:rsidR="0085482B" w:rsidRPr="0069402F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Confidence Intervals</w:t>
            </w:r>
          </w:p>
        </w:tc>
      </w:tr>
      <w:tr w:rsidR="0085482B" w:rsidRPr="00C73979" w14:paraId="50E3570F" w14:textId="77777777" w:rsidTr="00F02105">
        <w:tc>
          <w:tcPr>
            <w:tcW w:w="1885" w:type="dxa"/>
            <w:vAlign w:val="center"/>
          </w:tcPr>
          <w:p w14:paraId="742800FF" w14:textId="6D222826" w:rsidR="0085482B" w:rsidRPr="0069402F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DH</w:t>
            </w:r>
          </w:p>
        </w:tc>
        <w:tc>
          <w:tcPr>
            <w:tcW w:w="7432" w:type="dxa"/>
            <w:vAlign w:val="center"/>
          </w:tcPr>
          <w:p w14:paraId="3DBB2E13" w14:textId="730559DB" w:rsidR="0085482B" w:rsidRPr="0069402F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bCs/>
                <w:color w:val="000000"/>
              </w:rPr>
              <w:t>Department of Health</w:t>
            </w:r>
          </w:p>
        </w:tc>
      </w:tr>
      <w:tr w:rsidR="0085482B" w:rsidRPr="00C73979" w14:paraId="46B2C775" w14:textId="77777777" w:rsidTr="00F02105">
        <w:tc>
          <w:tcPr>
            <w:tcW w:w="1885" w:type="dxa"/>
            <w:vAlign w:val="center"/>
          </w:tcPr>
          <w:p w14:paraId="3C8FB137" w14:textId="6E1F16CB" w:rsidR="0085482B" w:rsidRPr="0069402F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DM</w:t>
            </w:r>
          </w:p>
        </w:tc>
        <w:tc>
          <w:tcPr>
            <w:tcW w:w="7432" w:type="dxa"/>
            <w:vAlign w:val="center"/>
          </w:tcPr>
          <w:p w14:paraId="6F8E71DB" w14:textId="3BF02A19" w:rsidR="0085482B" w:rsidRPr="0069402F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</w:rPr>
              <w:t>Diabetes Mellitus</w:t>
            </w:r>
          </w:p>
        </w:tc>
      </w:tr>
      <w:tr w:rsidR="0085482B" w:rsidRPr="00C73979" w14:paraId="32B77E59" w14:textId="77777777" w:rsidTr="00F02105">
        <w:tc>
          <w:tcPr>
            <w:tcW w:w="1885" w:type="dxa"/>
            <w:vAlign w:val="center"/>
          </w:tcPr>
          <w:p w14:paraId="539AB8BB" w14:textId="17EDA8DA" w:rsidR="0085482B" w:rsidRPr="0069402F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EMRs</w:t>
            </w:r>
          </w:p>
        </w:tc>
        <w:tc>
          <w:tcPr>
            <w:tcW w:w="7432" w:type="dxa"/>
            <w:vAlign w:val="center"/>
          </w:tcPr>
          <w:p w14:paraId="71ADC6FB" w14:textId="36904C39" w:rsidR="0085482B" w:rsidRPr="0069402F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bCs/>
                <w:color w:val="000000"/>
              </w:rPr>
              <w:t>Electronic Medical Records</w:t>
            </w:r>
          </w:p>
        </w:tc>
      </w:tr>
      <w:tr w:rsidR="0085482B" w:rsidRPr="00C73979" w14:paraId="04F60149" w14:textId="77777777" w:rsidTr="00F02105">
        <w:tc>
          <w:tcPr>
            <w:tcW w:w="1885" w:type="dxa"/>
            <w:vAlign w:val="center"/>
          </w:tcPr>
          <w:p w14:paraId="1A3D4005" w14:textId="052D3B07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HA</w:t>
            </w:r>
          </w:p>
        </w:tc>
        <w:tc>
          <w:tcPr>
            <w:tcW w:w="7432" w:type="dxa"/>
            <w:vAlign w:val="center"/>
          </w:tcPr>
          <w:p w14:paraId="3ACDD1CA" w14:textId="754AF137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 w:eastAsia="zh-CN"/>
              </w:rPr>
            </w:pPr>
            <w:r>
              <w:rPr>
                <w:bCs/>
                <w:color w:val="000000"/>
              </w:rPr>
              <w:t>Hospital Authority</w:t>
            </w:r>
          </w:p>
        </w:tc>
      </w:tr>
      <w:tr w:rsidR="0085482B" w:rsidRPr="00C73979" w14:paraId="6471A6C6" w14:textId="77777777" w:rsidTr="00F02105">
        <w:tc>
          <w:tcPr>
            <w:tcW w:w="1885" w:type="dxa"/>
            <w:vAlign w:val="center"/>
          </w:tcPr>
          <w:p w14:paraId="5A6E3BB8" w14:textId="53A9BD0F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HbA1c</w:t>
            </w:r>
          </w:p>
        </w:tc>
        <w:tc>
          <w:tcPr>
            <w:tcW w:w="7432" w:type="dxa"/>
            <w:vAlign w:val="center"/>
          </w:tcPr>
          <w:p w14:paraId="51F5F981" w14:textId="32ECED7A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</w:rPr>
              <w:t>Haemoglobin A1c</w:t>
            </w:r>
          </w:p>
        </w:tc>
      </w:tr>
      <w:tr w:rsidR="0085482B" w:rsidRPr="00C73979" w14:paraId="07B2DE2E" w14:textId="77777777" w:rsidTr="00F02105">
        <w:tc>
          <w:tcPr>
            <w:tcW w:w="1885" w:type="dxa"/>
            <w:vAlign w:val="center"/>
          </w:tcPr>
          <w:p w14:paraId="4DBC8285" w14:textId="4B6DE819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HRs</w:t>
            </w:r>
          </w:p>
        </w:tc>
        <w:tc>
          <w:tcPr>
            <w:tcW w:w="7432" w:type="dxa"/>
            <w:vAlign w:val="center"/>
          </w:tcPr>
          <w:p w14:paraId="53E8091F" w14:textId="5A74C543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Hazard Ratios</w:t>
            </w:r>
          </w:p>
        </w:tc>
      </w:tr>
      <w:tr w:rsidR="0085482B" w:rsidRPr="00C73979" w14:paraId="72BE2D6A" w14:textId="77777777" w:rsidTr="00F02105">
        <w:tc>
          <w:tcPr>
            <w:tcW w:w="1885" w:type="dxa"/>
            <w:vAlign w:val="center"/>
          </w:tcPr>
          <w:p w14:paraId="47C3A658" w14:textId="0F2E0DF2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ICD-9-CM</w:t>
            </w:r>
          </w:p>
        </w:tc>
        <w:tc>
          <w:tcPr>
            <w:tcW w:w="7432" w:type="dxa"/>
            <w:vAlign w:val="center"/>
          </w:tcPr>
          <w:p w14:paraId="37D147D9" w14:textId="5F28544D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International Classification of Diseases, Ninth Revision, Coding Manual</w:t>
            </w:r>
          </w:p>
        </w:tc>
      </w:tr>
      <w:tr w:rsidR="0085482B" w:rsidRPr="00C73979" w14:paraId="7F27DAD1" w14:textId="77777777" w:rsidTr="00F02105">
        <w:tc>
          <w:tcPr>
            <w:tcW w:w="1885" w:type="dxa"/>
            <w:vAlign w:val="center"/>
          </w:tcPr>
          <w:p w14:paraId="576B1D7D" w14:textId="3A062CA2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ICPC</w:t>
            </w:r>
          </w:p>
        </w:tc>
        <w:tc>
          <w:tcPr>
            <w:tcW w:w="7432" w:type="dxa"/>
            <w:vAlign w:val="center"/>
          </w:tcPr>
          <w:p w14:paraId="4357175B" w14:textId="69A79BC4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International Classification of Primary Care</w:t>
            </w:r>
          </w:p>
        </w:tc>
      </w:tr>
      <w:tr w:rsidR="0085482B" w:rsidRPr="00C73979" w14:paraId="74B672DC" w14:textId="77777777" w:rsidTr="00F02105">
        <w:tc>
          <w:tcPr>
            <w:tcW w:w="1885" w:type="dxa"/>
            <w:vAlign w:val="center"/>
          </w:tcPr>
          <w:p w14:paraId="7E1A95BF" w14:textId="19386DC0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PICO</w:t>
            </w:r>
          </w:p>
        </w:tc>
        <w:tc>
          <w:tcPr>
            <w:tcW w:w="7432" w:type="dxa"/>
            <w:vAlign w:val="center"/>
          </w:tcPr>
          <w:p w14:paraId="5CEFC070" w14:textId="7E7CB4D8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Population, Intervention (or exposure), Comparator, and Outcome</w:t>
            </w:r>
          </w:p>
        </w:tc>
      </w:tr>
      <w:tr w:rsidR="0085482B" w:rsidRPr="00C73979" w14:paraId="72F7EC70" w14:textId="77777777" w:rsidTr="00F02105">
        <w:tc>
          <w:tcPr>
            <w:tcW w:w="1885" w:type="dxa"/>
            <w:vAlign w:val="center"/>
          </w:tcPr>
          <w:p w14:paraId="16614A86" w14:textId="464FDD26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bCs/>
                <w:color w:val="000000"/>
              </w:rPr>
              <w:t>RAT</w:t>
            </w:r>
          </w:p>
        </w:tc>
        <w:tc>
          <w:tcPr>
            <w:tcW w:w="7432" w:type="dxa"/>
            <w:vAlign w:val="center"/>
          </w:tcPr>
          <w:p w14:paraId="2D74C009" w14:textId="7C5145E8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bCs/>
                <w:color w:val="000000"/>
              </w:rPr>
              <w:t>Rapid Antigen Test</w:t>
            </w:r>
          </w:p>
        </w:tc>
      </w:tr>
      <w:tr w:rsidR="0085482B" w:rsidRPr="00C73979" w14:paraId="796FBF74" w14:textId="77777777" w:rsidTr="00F02105">
        <w:tc>
          <w:tcPr>
            <w:tcW w:w="1885" w:type="dxa"/>
            <w:vAlign w:val="center"/>
          </w:tcPr>
          <w:p w14:paraId="19D73E09" w14:textId="403E7C64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RT–PCR</w:t>
            </w:r>
          </w:p>
        </w:tc>
        <w:tc>
          <w:tcPr>
            <w:tcW w:w="7432" w:type="dxa"/>
            <w:vAlign w:val="center"/>
          </w:tcPr>
          <w:p w14:paraId="71739032" w14:textId="2936C3D5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 w:eastAsia="zh-CN"/>
              </w:rPr>
            </w:pPr>
            <w:r>
              <w:rPr>
                <w:color w:val="000000"/>
                <w:lang w:val="en-US"/>
              </w:rPr>
              <w:t>Reverse Transcription Polymerase Chain Reaction</w:t>
            </w:r>
          </w:p>
        </w:tc>
      </w:tr>
      <w:tr w:rsidR="0085482B" w:rsidRPr="00C73979" w14:paraId="7DC03AF4" w14:textId="77777777" w:rsidTr="00F02105">
        <w:tc>
          <w:tcPr>
            <w:tcW w:w="1885" w:type="dxa"/>
            <w:vAlign w:val="center"/>
          </w:tcPr>
          <w:p w14:paraId="4F10B78E" w14:textId="668CE203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STROBE</w:t>
            </w:r>
          </w:p>
        </w:tc>
        <w:tc>
          <w:tcPr>
            <w:tcW w:w="7432" w:type="dxa"/>
            <w:vAlign w:val="center"/>
          </w:tcPr>
          <w:p w14:paraId="4F5EAA83" w14:textId="137308B2" w:rsidR="0085482B" w:rsidRPr="00C73979" w:rsidRDefault="0085482B" w:rsidP="0085482B">
            <w:pPr>
              <w:spacing w:before="60" w:after="60" w:line="240" w:lineRule="auto"/>
              <w:rPr>
                <w:szCs w:val="24"/>
                <w:lang w:val="en-US" w:eastAsia="zh-CN"/>
              </w:rPr>
            </w:pPr>
            <w:r>
              <w:rPr>
                <w:color w:val="000000"/>
                <w:lang w:val="en-US"/>
              </w:rPr>
              <w:t>STrengthening the Reporting of OBservational studies in Epidemiology</w:t>
            </w:r>
          </w:p>
        </w:tc>
      </w:tr>
    </w:tbl>
    <w:p w14:paraId="11600DC0" w14:textId="2F37D1EA" w:rsidR="00110F03" w:rsidRPr="00C73979" w:rsidRDefault="00110F03" w:rsidP="00110F03">
      <w:pPr>
        <w:rPr>
          <w:szCs w:val="24"/>
        </w:rPr>
      </w:pPr>
    </w:p>
    <w:tbl>
      <w:tblPr>
        <w:tblStyle w:val="TableGrid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366"/>
        <w:gridCol w:w="129"/>
        <w:gridCol w:w="7464"/>
        <w:gridCol w:w="351"/>
        <w:gridCol w:w="342"/>
      </w:tblGrid>
      <w:tr w:rsidR="003E5A02" w:rsidRPr="00C73979" w14:paraId="0CE6A9C9" w14:textId="77777777" w:rsidTr="007A781B">
        <w:trPr>
          <w:gridAfter w:val="1"/>
          <w:wAfter w:w="342" w:type="dxa"/>
          <w:trHeight w:val="202"/>
        </w:trPr>
        <w:tc>
          <w:tcPr>
            <w:tcW w:w="1491" w:type="dxa"/>
            <w:gridSpan w:val="2"/>
          </w:tcPr>
          <w:bookmarkEnd w:id="0"/>
          <w:p w14:paraId="21BD3092" w14:textId="0D6018AC" w:rsidR="003E5A02" w:rsidRPr="00C73979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C73979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7944" w:type="dxa"/>
            <w:gridSpan w:val="3"/>
          </w:tcPr>
          <w:p w14:paraId="123EC3B5" w14:textId="17BF5218" w:rsidR="003E5A02" w:rsidRPr="00C73979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C73979">
              <w:rPr>
                <w:noProof/>
                <w:sz w:val="24"/>
                <w:szCs w:val="24"/>
              </w:rPr>
              <w:t>BACKGROUND</w:t>
            </w:r>
          </w:p>
        </w:tc>
      </w:tr>
      <w:tr w:rsidR="003E5A02" w:rsidRPr="00C73979" w14:paraId="596EC126" w14:textId="77777777" w:rsidTr="007A781B">
        <w:trPr>
          <w:gridAfter w:val="1"/>
          <w:wAfter w:w="342" w:type="dxa"/>
          <w:trHeight w:val="101"/>
        </w:trPr>
        <w:tc>
          <w:tcPr>
            <w:tcW w:w="1491" w:type="dxa"/>
            <w:gridSpan w:val="2"/>
          </w:tcPr>
          <w:p w14:paraId="16CD7DA6" w14:textId="77777777" w:rsidR="003E5A02" w:rsidRPr="00C73979" w:rsidRDefault="003E5A02" w:rsidP="00070A15">
            <w:pPr>
              <w:spacing w:line="240" w:lineRule="auto"/>
              <w:ind w:left="709"/>
              <w:jc w:val="both"/>
              <w:rPr>
                <w:szCs w:val="24"/>
              </w:rPr>
            </w:pPr>
          </w:p>
        </w:tc>
        <w:tc>
          <w:tcPr>
            <w:tcW w:w="7944" w:type="dxa"/>
            <w:gridSpan w:val="3"/>
          </w:tcPr>
          <w:p w14:paraId="698520D5" w14:textId="32845891" w:rsidR="00A87378" w:rsidRDefault="00A87378" w:rsidP="00A87378">
            <w:pPr>
              <w:spacing w:line="240" w:lineRule="auto"/>
              <w:jc w:val="both"/>
              <w:rPr>
                <w:szCs w:val="24"/>
              </w:rPr>
            </w:pPr>
            <w:r w:rsidRPr="007E2990">
              <w:rPr>
                <w:szCs w:val="24"/>
              </w:rPr>
              <w:t>A number of studies have reported new-onset diabetes as being associated with the presence of COVID-19</w:t>
            </w:r>
            <w:r>
              <w:rPr>
                <w:szCs w:val="24"/>
              </w:rPr>
              <w:fldChar w:fldCharType="begin">
                <w:fldData xml:space="preserve">PEVuZE5vdGU+PENpdGU+PEF1dGhvcj5LaHVudGk8L0F1dGhvcj48WWVhcj4yMDIxPC9ZZWFyPjxS
ZWNOdW0+NDE1PC9SZWNOdW0+PERpc3BsYXlUZXh0PjxzdHlsZSBmYWNlPSJzdXBlcnNjcmlwdCI+
MTwvc3R5bGU+PC9EaXNwbGF5VGV4dD48cmVjb3JkPjxyZWMtbnVtYmVyPjQxNTwvcmVjLW51bWJl
cj48Zm9yZWlnbi1rZXlzPjxrZXkgYXBwPSJFTiIgZGItaWQ9InI1eHpwZmQ5YTVlNTlrZTkyZXF2
MHJzbGR0dnR4YXA1ZjlmMCIgdGltZXN0YW1wPSIxNjYzNjM5MzMzIj40MTU8L2tleT48L2ZvcmVp
Z24ta2V5cz48cmVmLXR5cGUgbmFtZT0iSm91cm5hbCBBcnRpY2xlIj4xNzwvcmVmLXR5cGU+PGNv
bnRyaWJ1dG9ycz48YXV0aG9ycz48YXV0aG9yPktodW50aSwgSy48L2F1dGhvcj48YXV0aG9yPkRl
bCBQcmF0bywgUy48L2F1dGhvcj48YXV0aG9yPk1hdGhpZXUsIEMuPC9hdXRob3I+PGF1dGhvcj5L
YWhuLCBTLiBFLjwvYXV0aG9yPjxhdXRob3I+R2FiYmF5LCBSLiBBLjwvYXV0aG9yPjxhdXRob3I+
QnVzZSwgSi4gQi48L2F1dGhvcj48L2F1dGhvcnM+PC9jb250cmlidXRvcnM+PGF1dGgtYWRkcmVz
cz5EaWFiZXRlcyBSZXNlYXJjaCBDZW50cmUsIFVuaXZlcnNpdHkgSG9zcGl0YWxzIG9mIExlaWNl
c3RlciBOSFMgVHJ1c3QsIExlaWNlc3RlciBHZW5lcmFsIEhvc3BpdGFsLCBMZWljZXN0ZXIsIFUu
Sy4ga2syMkBsZWljZXN0ZXIuYWMudWsuJiN4RDtTZWN0aW9uIG9mIERpYWJldGVzLCBEZXBhcnRt
ZW50IG9mIENsaW5pY2FsIGFuZCBFeHBlcmltZW50YWwgTWVkaWNpbmUsIFVuaXZlcnNpdHkgb2Yg
UGlzYSwgUGlzYSwgSXRhbHkuJiN4RDtMYWJvcmF0b3J5IGZvciBDbGluaWNhbCBhbmQgRXhwZXJp
bWVudGFsIEVuZG9jcmlub2xvZ3ksIERlcGFydG1lbnQgb2YgQ2hyb25pYyBEaXNlYXNlcyBhbmQg
TWV0YWJvbGlzbSwgS1UgTGV1dmVuLCBMZXV2ZW4sIEJlbGdpdW0uJiN4RDtWQSBQdWdldCBTb3Vu
ZCBIZWFsdGggQ2FyZSBTeXN0ZW0gYW5kIFVuaXZlcnNpdHkgb2YgV2FzaGluZ3RvbiwgU2VhdHRs
ZSwgV0EuJiN4RDtIYXJ2YXJkIE1lZGljYWwgU2Nob29sLCBCb3N0b24sIE1BLiYjeEQ7QW1lcmlj
YW4gRGlhYmV0ZXMgQXNzb2NpYXRpb24sIEFybGluZ3RvbiwgVkEuJiN4RDtEaXZpc2lvbiBvZiBF
bmRvY3Jpbm9sb2d5IGFuZCBNZXRhYm9saXNtLCBVbml2ZXJzaXR5IG9mIE5vcnRoIENhcm9saW5h
IFNjaG9vbCBvZiBNZWRpY2luZSwgQ2hhcGVsIEhpbGwsIE5DLjwvYXV0aC1hZGRyZXNzPjx0aXRs
ZXM+PHRpdGxlPkNPVklELTE5LCBIeXBlcmdseWNlbWlhLCBhbmQgTmV3LU9uc2V0IERpYWJldGVz
PC90aXRsZT48c2Vjb25kYXJ5LXRpdGxlPkRpYWJldGVzIENhcmU8L3NlY29uZGFyeS10aXRsZT48
L3RpdGxlcz48cGVyaW9kaWNhbD48ZnVsbC10aXRsZT5EaWFiZXRlcyBDYXJlPC9mdWxsLXRpdGxl
PjwvcGVyaW9kaWNhbD48cGFnZXM+MjY0NS0yNjU1PC9wYWdlcz48dm9sdW1lPjQ0PC92b2x1bWU+
PG51bWJlcj4xMjwvbnVtYmVyPjxlZGl0aW9uPjIwMjEvMTAvMTA8L2VkaXRpb24+PGtleXdvcmRz
PjxrZXl3b3JkPipjb3ZpZC0xOTwva2V5d29yZD48a2V5d29yZD4qRGlhYmV0ZXMgTWVsbGl0dXM8
L2tleXdvcmQ+PGtleXdvcmQ+KkRpYWJldGljIEtldG9hY2lkb3Npcy9lcGlkZW1pb2xvZ3kvZXRp
b2xvZ3k8L2tleXdvcmQ+PGtleXdvcmQ+SHVtYW5zPC9rZXl3b3JkPjxrZXl3b3JkPipIeXBlcmds
eWNlbWlhPC9rZXl3b3JkPjxrZXl3b3JkPlByb3NwZWN0aXZlIFN0dWRpZXM8L2tleXdvcmQ+PGtl
eXdvcmQ+U0FSUy1Db1YtMjwva2V5d29yZD48L2tleXdvcmRzPjxkYXRlcz48eWVhcj4yMDIxPC95
ZWFyPjxwdWItZGF0ZXM+PGRhdGU+RGVjPC9kYXRlPjwvcHViLWRhdGVzPjwvZGF0ZXM+PGlzYm4+
MDE0OS01OTkyIChQcmludCkmI3hEOzAxNDktNTk5MjwvaXNibj48YWNjZXNzaW9uLW51bT4zNDYy
NTQzMTwvYWNjZXNzaW9uLW51bT48dXJscz48L3VybHM+PGN1c3RvbTI+UE1DODY2OTUzNjwvY3Vz
dG9tMj48ZWxlY3Ryb25pYy1yZXNvdXJjZS1udW0+MTAuMjMzNy9kYzIxLTEzMTg8L2VsZWN0cm9u
aWMtcmVzb3VyY2UtbnVtPjxyZW1vdGUtZGF0YWJhc2UtcHJvdmlkZXI+TkxNPC9yZW1vdGUtZGF0
YWJhc2UtcHJvdmlkZXI+PGxhbmd1YWdlPmVuZzwvbGFuZ3VhZ2U+PC9yZWNvcmQ+PC9DaXRlPjwv
RW5kTm90ZT5=
</w:fldData>
              </w:fldChar>
            </w:r>
            <w:r w:rsidR="00B76813">
              <w:rPr>
                <w:szCs w:val="24"/>
              </w:rPr>
              <w:instrText xml:space="preserve"> ADDIN EN.CITE </w:instrText>
            </w:r>
            <w:r w:rsidR="00B76813">
              <w:rPr>
                <w:szCs w:val="24"/>
              </w:rPr>
              <w:fldChar w:fldCharType="begin">
                <w:fldData xml:space="preserve">PEVuZE5vdGU+PENpdGU+PEF1dGhvcj5LaHVudGk8L0F1dGhvcj48WWVhcj4yMDIxPC9ZZWFyPjxS
ZWNOdW0+NDE1PC9SZWNOdW0+PERpc3BsYXlUZXh0PjxzdHlsZSBmYWNlPSJzdXBlcnNjcmlwdCI+
MTwvc3R5bGU+PC9EaXNwbGF5VGV4dD48cmVjb3JkPjxyZWMtbnVtYmVyPjQxNTwvcmVjLW51bWJl
cj48Zm9yZWlnbi1rZXlzPjxrZXkgYXBwPSJFTiIgZGItaWQ9InI1eHpwZmQ5YTVlNTlrZTkyZXF2
MHJzbGR0dnR4YXA1ZjlmMCIgdGltZXN0YW1wPSIxNjYzNjM5MzMzIj40MTU8L2tleT48L2ZvcmVp
Z24ta2V5cz48cmVmLXR5cGUgbmFtZT0iSm91cm5hbCBBcnRpY2xlIj4xNzwvcmVmLXR5cGU+PGNv
bnRyaWJ1dG9ycz48YXV0aG9ycz48YXV0aG9yPktodW50aSwgSy48L2F1dGhvcj48YXV0aG9yPkRl
bCBQcmF0bywgUy48L2F1dGhvcj48YXV0aG9yPk1hdGhpZXUsIEMuPC9hdXRob3I+PGF1dGhvcj5L
YWhuLCBTLiBFLjwvYXV0aG9yPjxhdXRob3I+R2FiYmF5LCBSLiBBLjwvYXV0aG9yPjxhdXRob3I+
QnVzZSwgSi4gQi48L2F1dGhvcj48L2F1dGhvcnM+PC9jb250cmlidXRvcnM+PGF1dGgtYWRkcmVz
cz5EaWFiZXRlcyBSZXNlYXJjaCBDZW50cmUsIFVuaXZlcnNpdHkgSG9zcGl0YWxzIG9mIExlaWNl
c3RlciBOSFMgVHJ1c3QsIExlaWNlc3RlciBHZW5lcmFsIEhvc3BpdGFsLCBMZWljZXN0ZXIsIFUu
Sy4ga2syMkBsZWljZXN0ZXIuYWMudWsuJiN4RDtTZWN0aW9uIG9mIERpYWJldGVzLCBEZXBhcnRt
ZW50IG9mIENsaW5pY2FsIGFuZCBFeHBlcmltZW50YWwgTWVkaWNpbmUsIFVuaXZlcnNpdHkgb2Yg
UGlzYSwgUGlzYSwgSXRhbHkuJiN4RDtMYWJvcmF0b3J5IGZvciBDbGluaWNhbCBhbmQgRXhwZXJp
bWVudGFsIEVuZG9jcmlub2xvZ3ksIERlcGFydG1lbnQgb2YgQ2hyb25pYyBEaXNlYXNlcyBhbmQg
TWV0YWJvbGlzbSwgS1UgTGV1dmVuLCBMZXV2ZW4sIEJlbGdpdW0uJiN4RDtWQSBQdWdldCBTb3Vu
ZCBIZWFsdGggQ2FyZSBTeXN0ZW0gYW5kIFVuaXZlcnNpdHkgb2YgV2FzaGluZ3RvbiwgU2VhdHRs
ZSwgV0EuJiN4RDtIYXJ2YXJkIE1lZGljYWwgU2Nob29sLCBCb3N0b24sIE1BLiYjeEQ7QW1lcmlj
YW4gRGlhYmV0ZXMgQXNzb2NpYXRpb24sIEFybGluZ3RvbiwgVkEuJiN4RDtEaXZpc2lvbiBvZiBF
bmRvY3Jpbm9sb2d5IGFuZCBNZXRhYm9saXNtLCBVbml2ZXJzaXR5IG9mIE5vcnRoIENhcm9saW5h
IFNjaG9vbCBvZiBNZWRpY2luZSwgQ2hhcGVsIEhpbGwsIE5DLjwvYXV0aC1hZGRyZXNzPjx0aXRs
ZXM+PHRpdGxlPkNPVklELTE5LCBIeXBlcmdseWNlbWlhLCBhbmQgTmV3LU9uc2V0IERpYWJldGVz
PC90aXRsZT48c2Vjb25kYXJ5LXRpdGxlPkRpYWJldGVzIENhcmU8L3NlY29uZGFyeS10aXRsZT48
L3RpdGxlcz48cGVyaW9kaWNhbD48ZnVsbC10aXRsZT5EaWFiZXRlcyBDYXJlPC9mdWxsLXRpdGxl
PjwvcGVyaW9kaWNhbD48cGFnZXM+MjY0NS0yNjU1PC9wYWdlcz48dm9sdW1lPjQ0PC92b2x1bWU+
PG51bWJlcj4xMjwvbnVtYmVyPjxlZGl0aW9uPjIwMjEvMTAvMTA8L2VkaXRpb24+PGtleXdvcmRz
PjxrZXl3b3JkPipjb3ZpZC0xOTwva2V5d29yZD48a2V5d29yZD4qRGlhYmV0ZXMgTWVsbGl0dXM8
L2tleXdvcmQ+PGtleXdvcmQ+KkRpYWJldGljIEtldG9hY2lkb3Npcy9lcGlkZW1pb2xvZ3kvZXRp
b2xvZ3k8L2tleXdvcmQ+PGtleXdvcmQ+SHVtYW5zPC9rZXl3b3JkPjxrZXl3b3JkPipIeXBlcmds
eWNlbWlhPC9rZXl3b3JkPjxrZXl3b3JkPlByb3NwZWN0aXZlIFN0dWRpZXM8L2tleXdvcmQ+PGtl
eXdvcmQ+U0FSUy1Db1YtMjwva2V5d29yZD48L2tleXdvcmRzPjxkYXRlcz48eWVhcj4yMDIxPC95
ZWFyPjxwdWItZGF0ZXM+PGRhdGU+RGVjPC9kYXRlPjwvcHViLWRhdGVzPjwvZGF0ZXM+PGlzYm4+
MDE0OS01OTkyIChQcmludCkmI3hEOzAxNDktNTk5MjwvaXNibj48YWNjZXNzaW9uLW51bT4zNDYy
NTQzMTwvYWNjZXNzaW9uLW51bT48dXJscz48L3VybHM+PGN1c3RvbTI+UE1DODY2OTUzNjwvY3Vz
dG9tMj48ZWxlY3Ryb25pYy1yZXNvdXJjZS1udW0+MTAuMjMzNy9kYzIxLTEzMTg8L2VsZWN0cm9u
aWMtcmVzb3VyY2UtbnVtPjxyZW1vdGUtZGF0YWJhc2UtcHJvdmlkZXI+TkxNPC9yZW1vdGUtZGF0
YWJhc2UtcHJvdmlkZXI+PGxhbmd1YWdlPmVuZzwvbGFuZ3VhZ2U+PC9yZWNvcmQ+PC9DaXRlPjwv
RW5kTm90ZT5=
</w:fldData>
              </w:fldChar>
            </w:r>
            <w:r w:rsidR="00B76813">
              <w:rPr>
                <w:szCs w:val="24"/>
              </w:rPr>
              <w:instrText xml:space="preserve"> ADDIN EN.CITE.DATA </w:instrText>
            </w:r>
            <w:r w:rsidR="00B76813">
              <w:rPr>
                <w:szCs w:val="24"/>
              </w:rPr>
            </w:r>
            <w:r w:rsidR="00B76813">
              <w:rPr>
                <w:szCs w:val="24"/>
              </w:rPr>
              <w:fldChar w:fldCharType="end"/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76813" w:rsidRPr="00B76813">
              <w:rPr>
                <w:noProof/>
                <w:szCs w:val="24"/>
                <w:vertAlign w:val="superscript"/>
              </w:rPr>
              <w:t>1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.</w:t>
            </w:r>
            <w:r w:rsidRPr="007E2990">
              <w:rPr>
                <w:szCs w:val="24"/>
              </w:rPr>
              <w:t xml:space="preserve"> </w:t>
            </w:r>
            <w:r w:rsidRPr="00A8631A">
              <w:rPr>
                <w:szCs w:val="24"/>
              </w:rPr>
              <w:t>Binding of angiotensin‐converting enzyme 2 (ACE2) receptors, which are expressed in various metabolic tissues</w:t>
            </w:r>
            <w:r w:rsidR="00D35AED">
              <w:rPr>
                <w:szCs w:val="24"/>
              </w:rPr>
              <w:t>,</w:t>
            </w:r>
            <w:r w:rsidRPr="00A8631A">
              <w:rPr>
                <w:szCs w:val="24"/>
              </w:rPr>
              <w:t xml:space="preserve"> including pancreatic beta cells, has been implicated</w:t>
            </w:r>
            <w:r>
              <w:rPr>
                <w:szCs w:val="24"/>
              </w:rPr>
              <w:fldChar w:fldCharType="begin"/>
            </w:r>
            <w:r w:rsidR="00B76813">
              <w:rPr>
                <w:szCs w:val="24"/>
              </w:rPr>
              <w:instrText xml:space="preserve"> ADDIN EN.CITE &lt;EndNote&gt;&lt;Cite&gt;&lt;Author&gt;Yang&lt;/Author&gt;&lt;Year&gt;2010&lt;/Year&gt;&lt;RecNum&gt;416&lt;/RecNum&gt;&lt;DisplayText&gt;&lt;style face="superscript"&gt;2&lt;/style&gt;&lt;/DisplayText&gt;&lt;record&gt;&lt;rec-number&gt;416&lt;/rec-number&gt;&lt;foreign-keys&gt;&lt;key app="EN" db-id="r5xzpfd9a5e59ke92eqv0rsldtvtxap5f9f0" timestamp="1663639926"&gt;416&lt;/key&gt;&lt;/foreign-keys&gt;&lt;ref-type name="Journal Article"&gt;17&lt;/ref-type&gt;&lt;contributors&gt;&lt;authors&gt;&lt;author&gt;Yang, J. K.&lt;/author&gt;&lt;author&gt;Lin, S. S.&lt;/author&gt;&lt;author&gt;Ji, X. J.&lt;/author&gt;&lt;author&gt;Guo, L. M.&lt;/author&gt;&lt;/authors&gt;&lt;/contributors&gt;&lt;auth-address&gt;Department of Endocrinology, Beijing Tongren Hospital, Capital Medical University, China. yangjk@trhos.com&lt;/auth-address&gt;&lt;titles&gt;&lt;title&gt;Binding of SARS coronavirus to its receptor damages islets and causes acute diabetes&lt;/title&gt;&lt;secondary-title&gt;Acta Diabetol&lt;/secondary-title&gt;&lt;/titles&gt;&lt;periodical&gt;&lt;full-title&gt;Acta Diabetol&lt;/full-title&gt;&lt;/periodical&gt;&lt;pages&gt;193-9&lt;/pages&gt;&lt;volume&gt;47&lt;/volume&gt;&lt;number&gt;3&lt;/number&gt;&lt;edition&gt;2009/04/01&lt;/edition&gt;&lt;keywords&gt;&lt;keyword&gt;Acute Disease&lt;/keyword&gt;&lt;keyword&gt;Adult&lt;/keyword&gt;&lt;keyword&gt;Aged&lt;/keyword&gt;&lt;keyword&gt;Case-Control Studies&lt;/keyword&gt;&lt;keyword&gt;Diabetes Mellitus/*etiology/metabolism/mortality/virology&lt;/keyword&gt;&lt;keyword&gt;Female&lt;/keyword&gt;&lt;keyword&gt;Humans&lt;/keyword&gt;&lt;keyword&gt;Islets of Langerhans/metabolism/*pathology/virology&lt;/keyword&gt;&lt;keyword&gt;Male&lt;/keyword&gt;&lt;keyword&gt;Middle Aged&lt;/keyword&gt;&lt;keyword&gt;Protein Binding/physiology&lt;/keyword&gt;&lt;keyword&gt;Receptors, Virus/*metabolism/physiology&lt;/keyword&gt;&lt;keyword&gt;SARS Virus/*metabolism/*physiology&lt;/keyword&gt;&lt;keyword&gt;Severe Acute Respiratory Syndrome/complications/mortality/pathology/virology&lt;/keyword&gt;&lt;/keywords&gt;&lt;dates&gt;&lt;year&gt;2010&lt;/year&gt;&lt;pub-dates&gt;&lt;date&gt;Sep&lt;/date&gt;&lt;/pub-dates&gt;&lt;/dates&gt;&lt;isbn&gt;0940-5429 (Print)&amp;#xD;0940-5429&lt;/isbn&gt;&lt;accession-num&gt;19333547&lt;/accession-num&gt;&lt;urls&gt;&lt;/urls&gt;&lt;custom2&gt;PMC7088164&lt;/custom2&gt;&lt;electronic-resource-num&gt;10.1007/s00592-009-0109-4&lt;/electronic-resource-num&gt;&lt;remote-database-provider&gt;NLM&lt;/remote-database-provider&gt;&lt;language&gt;eng&lt;/language&gt;&lt;/record&gt;&lt;/Cite&gt;&lt;/EndNote&gt;</w:instrText>
            </w:r>
            <w:r>
              <w:rPr>
                <w:szCs w:val="24"/>
              </w:rPr>
              <w:fldChar w:fldCharType="separate"/>
            </w:r>
            <w:r w:rsidR="00B76813" w:rsidRPr="00B76813">
              <w:rPr>
                <w:noProof/>
                <w:szCs w:val="24"/>
                <w:vertAlign w:val="superscript"/>
              </w:rPr>
              <w:t>2</w:t>
            </w:r>
            <w:r>
              <w:rPr>
                <w:szCs w:val="24"/>
              </w:rPr>
              <w:fldChar w:fldCharType="end"/>
            </w:r>
            <w:r w:rsidRPr="00A8631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E66E6">
              <w:rPr>
                <w:szCs w:val="24"/>
              </w:rPr>
              <w:t>Th</w:t>
            </w:r>
            <w:r>
              <w:rPr>
                <w:szCs w:val="24"/>
              </w:rPr>
              <w:t>ese</w:t>
            </w:r>
            <w:r w:rsidRPr="009E66E6">
              <w:rPr>
                <w:szCs w:val="24"/>
              </w:rPr>
              <w:t xml:space="preserve"> </w:t>
            </w:r>
            <w:r>
              <w:rPr>
                <w:szCs w:val="24"/>
              </w:rPr>
              <w:t>studies</w:t>
            </w:r>
            <w:r w:rsidRPr="009E66E6">
              <w:rPr>
                <w:szCs w:val="24"/>
              </w:rPr>
              <w:t xml:space="preserve"> discussed point to a possible link between COVID-19 vaccine administration and resultant hyperglycemia and/or related complications</w:t>
            </w:r>
            <w:r>
              <w:rPr>
                <w:szCs w:val="24"/>
              </w:rPr>
              <w:t>.</w:t>
            </w:r>
            <w:r w:rsidRPr="009E66E6">
              <w:rPr>
                <w:szCs w:val="24"/>
              </w:rPr>
              <w:t xml:space="preserve"> </w:t>
            </w:r>
            <w:r w:rsidRPr="00C73979">
              <w:rPr>
                <w:szCs w:val="24"/>
              </w:rPr>
              <w:t>In view of the accumulating case reports and case series of hyperglycaemi</w:t>
            </w:r>
            <w:r w:rsidR="00D35AED">
              <w:rPr>
                <w:szCs w:val="24"/>
              </w:rPr>
              <w:t>a</w:t>
            </w:r>
            <w:r w:rsidRPr="00C73979">
              <w:rPr>
                <w:szCs w:val="24"/>
              </w:rPr>
              <w:t xml:space="preserve"> following COVID-19 vaccination, there is an urgent need to clarify the association between COVID-19 vaccination</w:t>
            </w:r>
            <w:r>
              <w:rPr>
                <w:szCs w:val="24"/>
              </w:rPr>
              <w:t xml:space="preserve"> </w:t>
            </w:r>
            <w:r w:rsidRPr="00C73979">
              <w:rPr>
                <w:szCs w:val="24"/>
              </w:rPr>
              <w:t xml:space="preserve">and incident diabetes mellitus </w:t>
            </w:r>
            <w:r w:rsidR="0093407D">
              <w:rPr>
                <w:szCs w:val="24"/>
              </w:rPr>
              <w:t xml:space="preserve">(DM) </w:t>
            </w:r>
            <w:r w:rsidRPr="00C73979">
              <w:rPr>
                <w:szCs w:val="24"/>
              </w:rPr>
              <w:t>in a population-based study</w:t>
            </w:r>
            <w:r w:rsidRPr="00C73979">
              <w:rPr>
                <w:szCs w:val="24"/>
              </w:rPr>
              <w:fldChar w:fldCharType="begin">
                <w:fldData xml:space="preserve">PEVuZE5vdGU+PENpdGU+PEF1dGhvcj5FZHdhcmRzPC9BdXRob3I+PFllYXI+MjAyMTwvWWVhcj48
UmVjTnVtPjM1OTwvUmVjTnVtPjxEaXNwbGF5VGV4dD48c3R5bGUgZmFjZT0ic3VwZXJzY3JpcHQi
PjMtNTwvc3R5bGU+PC9EaXNwbGF5VGV4dD48cmVjb3JkPjxyZWMtbnVtYmVyPjM1OTwvcmVjLW51
bWJlcj48Zm9yZWlnbi1rZXlzPjxrZXkgYXBwPSJFTiIgZGItaWQ9InI1eHpwZmQ5YTVlNTlrZTky
ZXF2MHJzbGR0dnR4YXA1ZjlmMCIgdGltZXN0YW1wPSIxNjU1NzA2MzQxIj4zNTk8L2tleT48L2Zv
cmVpZ24ta2V5cz48cmVmLXR5cGUgbmFtZT0iSm91cm5hbCBBcnRpY2xlIj4xNzwvcmVmLXR5cGU+
PGNvbnRyaWJ1dG9ycz48YXV0aG9ycz48YXV0aG9yPkVkd2FyZHMsIEEuIEUuPC9hdXRob3I+PGF1
dGhvcj5WYXRoZW5lbiwgUi48L2F1dGhvcj48YXV0aG9yPkhlbnNvbiwgUy4gTS48L2F1dGhvcj48
YXV0aG9yPkZpbmVyLCBTLjwvYXV0aG9yPjxhdXRob3I+R3VuZ2FuYWgsIEsuPC9hdXRob3I+PC9h
dXRob3JzPjwvY29udHJpYnV0b3JzPjxhdXRoLWFkZHJlc3M+RGVwYXJ0bWVudCBvZiBEaWFiZXRl
cyBhbmQgRW5kb2NyaW5vbG9neSwgTmV3aGFtIFVuaXZlcnNpdHkgSG9zcGl0YWwsIEJhcnRzIEhl
YWx0aCBOSFMgVHJ1c3QsIExvbmRvbiwgVUsuJiN4RDtDZW50cmUgZm9yIFRyYW5zbGF0aW9uYWwg
TWVkaWNpbmUgYW5kIFRoZXJhcGV1dGljcywgV2lsbGlhbSBIYXJ2ZXkgUmVzZWFyY2ggSW5zdGl0
dXRlLCBCYXJ0cyBhbmQgdGhlIExvbmRvbiBTY2hvb2wgb2YgTWVkaWNpbmUgYW5kIERlbnRpc3Ry
eSwgUXVlZW4gTWFyeSBVbml2ZXJzaXR5IG9mIExvbmRvbiwgTG9uZG9uLCBVSy4mI3hEO0luc3Rp
dHV0ZSBmb3IgUG9wdWxhdGlvbiBIZWFsdGggU2NpZW5jZXMsIEJhcnRzIGFuZCB0aGUgTG9uZG9u
IFNjaG9vbCBvZiBNZWRpY2luZSBhbmQgRGVudGlzdHJ5LCBRdWVlbiBNYXJ5IFVuaXZlcnNpdHkg
b2YgTG9uZG9uLCBMb25kb24sIFVLLjwvYXV0aC1hZGRyZXNzPjx0aXRsZXM+PHRpdGxlPkFjdXRl
IGh5cGVyZ2x5Y2FlbWljIGNyaXNpcyBhZnRlciB2YWNjaW5hdGlvbiBhZ2FpbnN0IENPVklELTE5
OiBBIGNhc2Ugc2VyaWVzPC90aXRsZT48c2Vjb25kYXJ5LXRpdGxlPkRpYWJldCBNZWQ8L3NlY29u
ZGFyeS10aXRsZT48L3RpdGxlcz48cGVyaW9kaWNhbD48ZnVsbC10aXRsZT5EaWFiZXQgTWVkPC9m
dWxsLXRpdGxlPjwvcGVyaW9kaWNhbD48cGFnZXM+ZTE0NjMxPC9wYWdlcz48dm9sdW1lPjM4PC92
b2x1bWU+PG51bWJlcj4xMTwvbnVtYmVyPjxlZGl0aW9uPjIwMjEvMDYvMzA8L2VkaXRpb24+PGtl
eXdvcmRzPjxrZXl3b3JkPkFjdXRlIERpc2Vhc2U8L2tleXdvcmQ+PGtleXdvcmQ+QWdlZDwva2V5
d29yZD48a2V5d29yZD5CbG9vZCBHbHVjb3NlL21ldGFib2xpc208L2tleXdvcmQ+PGtleXdvcmQ+
Qy1QZXB0aWRlL21ldGFib2xpc208L2tleXdvcmQ+PGtleXdvcmQ+Q09WSUQtMTkvKnByZXZlbnRp
b24gJmFtcDsgY29udHJvbDwva2V5d29yZD48a2V5d29yZD5DT1ZJRC0xOSBWYWNjaW5lcy8qdGhl
cmFwZXV0aWMgdXNlPC9rZXl3b3JkPjxrZXl3b3JkPkNoQWRPeDEgbkNvVi0xOTwva2V5d29yZD48
a2V5d29yZD5Db21vcmJpZGl0eTwva2V5d29yZD48a2V5d29yZD5FbWVyZ2VuY2llczwva2V5d29y
ZD48a2V5d29yZD5IdW1hbnM8L2tleXdvcmQ+PGtleXdvcmQ+SHlwZXJnbHljZW1pYS8qZGlhZ25v
c2lzL2VwaWRlbWlvbG9neS9tZXRhYm9saXNtPC9rZXl3b3JkPjxrZXl3b3JkPkh5cGVydGVuc2lv
bi9lcGlkZW1pb2xvZ3k8L2tleXdvcmQ+PGtleXdvcmQ+TWFsZTwva2V5d29yZD48a2V5d29yZD5N
ZXRhYm9saWMgU3luZHJvbWUvZXBpZGVtaW9sb2d5PC9rZXl3b3JkPjxrZXl3b3JkPk1pZGRsZSBB
Z2VkPC9rZXl3b3JkPjxrZXl3b3JkPlByZWRpYWJldGljIFN0YXRlL2VwaWRlbWlvbG9neTwva2V5
d29yZD48a2V5d29yZD5TQVJTLUNvVi0yPC9rZXl3b3JkPjxrZXl3b3JkPipjbGluaWNhbCBkaWFi
ZXRlczwva2V5d29yZD48a2V5d29yZD4qZGlhYmV0ZXM8L2tleXdvcmQ+PGtleXdvcmQ+KmluLXBh
dGllbnQgZGlhYmV0ZXM8L2tleXdvcmQ+PGtleXdvcmQ+KmtldG9hY2lkb3Npczwva2V5d29yZD48
a2V5d29yZD4qbWV0YWJvbGljIHN5bmRyb21lPC9rZXl3b3JkPjwva2V5d29yZHM+PGRhdGVzPjx5
ZWFyPjIwMjE8L3llYXI+PHB1Yi1kYXRlcz48ZGF0ZT5Ob3Y8L2RhdGU+PC9wdWItZGF0ZXM+PC9k
YXRlcz48aXNibj4wNzQyLTMwNzEgKFByaW50KSYjeEQ7MDc0Mi0zMDcxPC9pc2JuPjxhY2Nlc3Np
b24tbnVtPjM0MTg1OTI3PC9hY2Nlc3Npb24tbnVtPjx1cmxzPjwvdXJscz48Y3VzdG9tMj5QTUM4
NDIwNTY2PC9jdXN0b20yPjxlbGVjdHJvbmljLXJlc291cmNlLW51bT4xMC4xMTExL2RtZS4xNDYz
MTwvZWxlY3Ryb25pYy1yZXNvdXJjZS1udW0+PHJlbW90ZS1kYXRhYmFzZS1wcm92aWRlcj5OTE08
L3JlbW90ZS1kYXRhYmFzZS1wcm92aWRlcj48bGFuZ3VhZ2U+ZW5nPC9sYW5ndWFnZT48L3JlY29y
ZD48L0NpdGU+PENpdGU+PEF1dGhvcj5MZWU8L0F1dGhvcj48WWVhcj4yMDIxPC9ZZWFyPjxSZWNO
dW0+MzYwPC9SZWNOdW0+PHJlY29yZD48cmVjLW51bWJlcj4zNjA8L3JlYy1udW1iZXI+PGZvcmVp
Z24ta2V5cz48a2V5IGFwcD0iRU4iIGRiLWlkPSJyNXh6cGZkOWE1ZTU5a2U5MmVxdjByc2xkdHZ0
eGFwNWY5ZjAiIHRpbWVzdGFtcD0iMTY1NTcwNjU4MiI+MzYwPC9rZXk+PC9mb3JlaWduLWtleXM+
PHJlZi10eXBlIG5hbWU9IkpvdXJuYWwgQXJ0aWNsZSI+MTc8L3JlZi10eXBlPjxjb250cmlidXRv
cnM+PGF1dGhvcnM+PGF1dGhvcj5MZWUsIEguIEouPC9hdXRob3I+PGF1dGhvcj5TYWphbiwgQS48
L2F1dGhvcj48YXV0aG9yPlRvbWVyLCBZLjwvYXV0aG9yPjwvYXV0aG9ycz48L2NvbnRyaWJ1dG9y
cz48YXV0aC1hZGRyZXNzPkRpdmlzaW9uIG9mIEVuZG9jcmlub2xvZ3ksIERlcGFydG1lbnQgb2Yg
TWVkaWNpbmUsIEFsYmVydCBFaW5zdGVpbiBDb2xsZWdlIG9mIE1lZGljaW5lLCBCcm9ueCwgTlkg
MTA0NjEsIFVTQS4mI3hEO0ZsZWlzY2hlciBJbnN0aXR1dGUgZm9yIERpYWJldGVzIGFuZCBNZXRh
Ym9saXNtLCBBbGJlcnQgRWluc3RlaW4gQ29sbGVnZSBvZiBNZWRpY2luZSBhbmQgTW9udGVmaW9y
ZSBNZWRpY2FsIENlbnRlciwgQnJvbngsIE5ZIDEwNDYxLCBVU0EuPC9hdXRoLWFkZHJlc3M+PHRp
dGxlcz48dGl0bGU+SHlwZXJnbHljZW1pYyBFbWVyZ2VuY2llcyBBc3NvY2lhdGVkIFdpdGggQ09W
SUQtMTkgVmFjY2luYXRpb246IEEgQ2FzZSBTZXJpZXMgYW5kIERpc2N1c3Npb248L3RpdGxlPjxz
ZWNvbmRhcnktdGl0bGU+SiBFbmRvY3IgU29jPC9zZWNvbmRhcnktdGl0bGU+PC90aXRsZXM+PHBl
cmlvZGljYWw+PGZ1bGwtdGl0bGU+SiBFbmRvY3IgU29jPC9mdWxsLXRpdGxlPjwvcGVyaW9kaWNh
bD48cGFnZXM+YnZhYjE0MTwvcGFnZXM+PHZvbHVtZT41PC92b2x1bWU+PG51bWJlcj4xMTwvbnVt
YmVyPjxlZGl0aW9uPjIwMjEvMTAvMDU8L2VkaXRpb24+PGtleXdvcmRzPjxrZXl3b3JkPkNvdmlk
LTE5PC9rZXl3b3JkPjxrZXl3b3JkPlNBUlMtQ29WLTI8L2tleXdvcmQ+PGtleXdvcmQ+ZGlhYmV0
ZXM8L2tleXdvcmQ+PGtleXdvcmQ+aHlwZXJnbHljZW1pYTwva2V5d29yZD48a2V5d29yZD52YWNj
aW5lPC9rZXl3b3JkPjwva2V5d29yZHM+PGRhdGVzPjx5ZWFyPjIwMjE8L3llYXI+PHB1Yi1kYXRl
cz48ZGF0ZT5Ob3YgMTwvZGF0ZT48L3B1Yi1kYXRlcz48L2RhdGVzPjxpc2JuPjI0NzItMTk3Mjwv
aXNibj48YWNjZXNzaW9uLW51bT4zNDYwNDY4OTwvYWNjZXNzaW9uLW51bT48dXJscz48L3VybHM+
PGN1c3RvbTI+UE1DODQ3NzkxNTwvY3VzdG9tMj48ZWxlY3Ryb25pYy1yZXNvdXJjZS1udW0+MTAu
MTIxMC9qZW5kc28vYnZhYjE0MTwvZWxlY3Ryb25pYy1yZXNvdXJjZS1udW0+PHJlbW90ZS1kYXRh
YmFzZS1wcm92aWRlcj5OTE08L3JlbW90ZS1kYXRhYmFzZS1wcm92aWRlcj48bGFuZ3VhZ2U+ZW5n
PC9sYW5ndWFnZT48L3JlY29yZD48L0NpdGU+PENpdGU+PEF1dGhvcj5UYW5nPC9BdXRob3I+PFll
YXI+MjAyMjwvWWVhcj48UmVjTnVtPjM2MzwvUmVjTnVtPjxyZWNvcmQ+PHJlYy1udW1iZXI+MzYz
PC9yZWMtbnVtYmVyPjxmb3JlaWduLWtleXM+PGtleSBhcHA9IkVOIiBkYi1pZD0icjV4enBmZDlh
NWU1OWtlOTJlcXYwcnNsZHR2dHhhcDVmOWYwIiB0aW1lc3RhbXA9IjE2NTY4MzIyMTgiPjM2Mzwv
a2V5PjwvZm9yZWlnbi1rZXlzPjxyZWYtdHlwZSBuYW1lPSJKb3VybmFsIEFydGljbGUiPjE3PC9y
ZWYtdHlwZT48Y29udHJpYnV0b3JzPjxhdXRob3JzPjxhdXRob3I+VGFuZywgWC48L2F1dGhvcj48
YXV0aG9yPkhlLCBCLjwvYXV0aG9yPjxhdXRob3I+TGl1LCBaLjwvYXV0aG9yPjxhdXRob3I+Wmhv
dSwgWi48L2F1dGhvcj48YXV0aG9yPkxpLCBYLjwvYXV0aG9yPjwvYXV0aG9ycz48L2NvbnRyaWJ1
dG9ycz48YXV0aC1hZGRyZXNzPk5hdGlvbmFsIENsaW5pY2FsIFJlc2VhcmNoIENlbnRlciBmb3Ig
TWV0YWJvbGljIERpc2Vhc2VzLCBLZXkgTGFib3JhdG9yeSBvZiBEaWFiZXRlcyBJbW11bm9sb2d5
IChDZW50cmFsIFNvdXRoIFVuaXZlcnNpdHkpLCBNaW5pc3RyeSBvZiBFZHVjYXRpb24sIGFuZCBE
ZXBhcnRtZW50IG9mIE1ldGFib2xpc20gYW5kIEVuZG9jcmlub2xvZ3ksIFRoZSBTZWNvbmQgWGlh
bmd5YSBIb3NwaXRhbCBvZiBDZW50cmFsIFNvdXRoIFVuaXZlcnNpdHksIE5vLiAxMzkgUmVubWlu
IE1pZGRsZSBSb2FkLCBGdXJvbmcgRGlzdHJpY3QsIENoYW5nc2hhLCBIdW5hbiA0MTAwMTEsIENo
aW5hLiYjeEQ7RGl2aXNpb24gb2YgRW5kb2NyaW5vbG9neSBhbmQgTWV0YWJvbGlzbSwgRGVwYXJ0
bWVudCBvZiBNZWRpY2luZSwgVW5pdmVyc2l0eSBvZiBWaXJnaW5pYSBIZWFsdGggU3lzdGVtLCBD
aGFybG90dGVzdmlsbGUsIFZBLCBVU0EuJiN4RDtOYXRpb25hbCBDbGluaWNhbCBSZXNlYXJjaCBD
ZW50ZXIgZm9yIE1ldGFib2xpYyBEaXNlYXNlcywgS2V5IExhYm9yYXRvcnkgb2YgRGlhYmV0ZXMg
SW1tdW5vbG9neSAoQ2VudHJhbCBTb3V0aCBVbml2ZXJzaXR5KSwgTWluaXN0cnkgb2YgRWR1Y2F0
aW9uLCBhbmQgRGVwYXJ0bWVudCBvZiBNZXRhYm9saXNtIGFuZCBFbmRvY3Jpbm9sb2d5LCBUaGUg
U2Vjb25kIFhpYW5neWEgSG9zcGl0YWwgb2YgQ2VudHJhbCBTb3V0aCBVbml2ZXJzaXR5LCBOby4g
MTM5IFJlbm1pbiBNaWRkbGUgUm9hZCwgRnVyb25nIERpc3RyaWN0LCBDaGFuZ3NoYSwgSHVuYW4g
NDEwMDExLCBDaGluYS4gRWxlY3Ryb25pYyBhZGRyZXNzOiB6aG91emhpZ3VhbmdAY3N1LmVkdS5j
bi4mI3hEO05hdGlvbmFsIENsaW5pY2FsIFJlc2VhcmNoIENlbnRlciBmb3IgTWV0YWJvbGljIERp
c2Vhc2VzLCBLZXkgTGFib3JhdG9yeSBvZiBEaWFiZXRlcyBJbW11bm9sb2d5IChDZW50cmFsIFNv
dXRoIFVuaXZlcnNpdHkpLCBNaW5pc3RyeSBvZiBFZHVjYXRpb24sIGFuZCBEZXBhcnRtZW50IG9m
IE1ldGFib2xpc20gYW5kIEVuZG9jcmlub2xvZ3ksIFRoZSBTZWNvbmQgWGlhbmd5YSBIb3NwaXRh
bCBvZiBDZW50cmFsIFNvdXRoIFVuaXZlcnNpdHksIE5vLiAxMzkgUmVubWluIE1pZGRsZSBSb2Fk
LCBGdXJvbmcgRGlzdHJpY3QsIENoYW5nc2hhLCBIdW5hbiA0MTAwMTEsIENoaW5hLiBFbGVjdHJv
bmljIGFkZHJlc3M6IGxpeGlhQGNzdS5lZHUuY24uPC9hdXRoLWFkZHJlc3M+PHRpdGxlcz48dGl0
bGU+RnVsbWluYW50IHR5cGUgMSBkaWFiZXRlcyBhZnRlciBDT1ZJRC0xOSB2YWNjaW5hdGlvbjwv
dGl0bGU+PHNlY29uZGFyeS10aXRsZT5EaWFiZXRlcyBNZXRhYjwvc2Vjb25kYXJ5LXRpdGxlPjwv
dGl0bGVzPjxwZXJpb2RpY2FsPjxmdWxsLXRpdGxlPkRpYWJldGVzIE1ldGFiPC9mdWxsLXRpdGxl
PjwvcGVyaW9kaWNhbD48cGFnZXM+MTAxMzI0PC9wYWdlcz48dm9sdW1lPjQ4PC92b2x1bWU+PG51
bWJlcj4yPC9udW1iZXI+PGVkaXRpb24+MjAyMi8wMS8zMDwvZWRpdGlvbj48a2V5d29yZHM+PGtl
eXdvcmQ+KkNPVklELTE5L3ByZXZlbnRpb24gJmFtcDsgY29udHJvbDwva2V5d29yZD48a2V5d29y
ZD5DT1ZJRC0xOSBWYWNjaW5lcy9hZHZlcnNlIGVmZmVjdHM8L2tleXdvcmQ+PGtleXdvcmQ+KkRp
YWJldGVzIE1lbGxpdHVzLCBUeXBlIDE8L2tleXdvcmQ+PGtleXdvcmQ+KkRpYWJldGljIEtldG9h
Y2lkb3Npczwva2V5d29yZD48a2V5d29yZD5IdW1hbnM8L2tleXdvcmQ+PGtleXdvcmQ+VmFjY2lu
YXRpb24vYWR2ZXJzZSBlZmZlY3RzPC9rZXl3b3JkPjxrZXl3b3JkPipDT1ZJRC0xOSB2YWNjaW5h
dGlvbjwva2V5d29yZD48a2V5d29yZD4qQ2FzZSByZXBvcnQ8L2tleXdvcmQ+PGtleXdvcmQ+KkZ1
bG1pbmFudCB0eXBlIDEgZGlhYmV0ZXM8L2tleXdvcmQ+PGtleXdvcmQ+Kkh1bWFuIGxldWtvY3l0
ZSBhbnRpZ2VuPC9rZXl3b3JkPjxrZXl3b3JkPipJc2xldCBhbnRpYm9kaWVzPC9rZXl3b3JkPjwv
a2V5d29yZHM+PGRhdGVzPjx5ZWFyPjIwMjI8L3llYXI+PHB1Yi1kYXRlcz48ZGF0ZT5NYXI8L2Rh
dGU+PC9wdWItZGF0ZXM+PC9kYXRlcz48aXNibj4xMjYyLTM2MzYgKFByaW50KSYjeEQ7MTI2Mi0z
NjM2PC9pc2JuPjxhY2Nlc3Npb24tbnVtPjM1MDkxMDkyPC9hY2Nlc3Npb24tbnVtPjx1cmxzPjwv
dXJscz48Y3VzdG9tMj5QTUM4Nzg2NTk2PC9jdXN0b20yPjxlbGVjdHJvbmljLXJlc291cmNlLW51
bT4xMC4xMDE2L2ouZGlhYmV0LjIwMjIuMTAxMzI0PC9lbGVjdHJvbmljLXJlc291cmNlLW51bT48
cmVtb3RlLWRhdGFiYXNlLXByb3ZpZGVyPk5MTTwvcmVtb3RlLWRhdGFiYXNlLXByb3ZpZGVyPjxs
YW5ndWFnZT5lbmc8L2xhbmd1YWdlPjwvcmVjb3JkPjwvQ2l0ZT48L0VuZE5vdGU+AG==
</w:fldData>
              </w:fldChar>
            </w:r>
            <w:r w:rsidR="00B76813">
              <w:rPr>
                <w:szCs w:val="24"/>
              </w:rPr>
              <w:instrText xml:space="preserve"> ADDIN EN.CITE </w:instrText>
            </w:r>
            <w:r w:rsidR="00B76813">
              <w:rPr>
                <w:szCs w:val="24"/>
              </w:rPr>
              <w:fldChar w:fldCharType="begin">
                <w:fldData xml:space="preserve">PEVuZE5vdGU+PENpdGU+PEF1dGhvcj5FZHdhcmRzPC9BdXRob3I+PFllYXI+MjAyMTwvWWVhcj48
UmVjTnVtPjM1OTwvUmVjTnVtPjxEaXNwbGF5VGV4dD48c3R5bGUgZmFjZT0ic3VwZXJzY3JpcHQi
PjMtNTwvc3R5bGU+PC9EaXNwbGF5VGV4dD48cmVjb3JkPjxyZWMtbnVtYmVyPjM1OTwvcmVjLW51
bWJlcj48Zm9yZWlnbi1rZXlzPjxrZXkgYXBwPSJFTiIgZGItaWQ9InI1eHpwZmQ5YTVlNTlrZTky
ZXF2MHJzbGR0dnR4YXA1ZjlmMCIgdGltZXN0YW1wPSIxNjU1NzA2MzQxIj4zNTk8L2tleT48L2Zv
cmVpZ24ta2V5cz48cmVmLXR5cGUgbmFtZT0iSm91cm5hbCBBcnRpY2xlIj4xNzwvcmVmLXR5cGU+
PGNvbnRyaWJ1dG9ycz48YXV0aG9ycz48YXV0aG9yPkVkd2FyZHMsIEEuIEUuPC9hdXRob3I+PGF1
dGhvcj5WYXRoZW5lbiwgUi48L2F1dGhvcj48YXV0aG9yPkhlbnNvbiwgUy4gTS48L2F1dGhvcj48
YXV0aG9yPkZpbmVyLCBTLjwvYXV0aG9yPjxhdXRob3I+R3VuZ2FuYWgsIEsuPC9hdXRob3I+PC9h
dXRob3JzPjwvY29udHJpYnV0b3JzPjxhdXRoLWFkZHJlc3M+RGVwYXJ0bWVudCBvZiBEaWFiZXRl
cyBhbmQgRW5kb2NyaW5vbG9neSwgTmV3aGFtIFVuaXZlcnNpdHkgSG9zcGl0YWwsIEJhcnRzIEhl
YWx0aCBOSFMgVHJ1c3QsIExvbmRvbiwgVUsuJiN4RDtDZW50cmUgZm9yIFRyYW5zbGF0aW9uYWwg
TWVkaWNpbmUgYW5kIFRoZXJhcGV1dGljcywgV2lsbGlhbSBIYXJ2ZXkgUmVzZWFyY2ggSW5zdGl0
dXRlLCBCYXJ0cyBhbmQgdGhlIExvbmRvbiBTY2hvb2wgb2YgTWVkaWNpbmUgYW5kIERlbnRpc3Ry
eSwgUXVlZW4gTWFyeSBVbml2ZXJzaXR5IG9mIExvbmRvbiwgTG9uZG9uLCBVSy4mI3hEO0luc3Rp
dHV0ZSBmb3IgUG9wdWxhdGlvbiBIZWFsdGggU2NpZW5jZXMsIEJhcnRzIGFuZCB0aGUgTG9uZG9u
IFNjaG9vbCBvZiBNZWRpY2luZSBhbmQgRGVudGlzdHJ5LCBRdWVlbiBNYXJ5IFVuaXZlcnNpdHkg
b2YgTG9uZG9uLCBMb25kb24sIFVLLjwvYXV0aC1hZGRyZXNzPjx0aXRsZXM+PHRpdGxlPkFjdXRl
IGh5cGVyZ2x5Y2FlbWljIGNyaXNpcyBhZnRlciB2YWNjaW5hdGlvbiBhZ2FpbnN0IENPVklELTE5
OiBBIGNhc2Ugc2VyaWVzPC90aXRsZT48c2Vjb25kYXJ5LXRpdGxlPkRpYWJldCBNZWQ8L3NlY29u
ZGFyeS10aXRsZT48L3RpdGxlcz48cGVyaW9kaWNhbD48ZnVsbC10aXRsZT5EaWFiZXQgTWVkPC9m
dWxsLXRpdGxlPjwvcGVyaW9kaWNhbD48cGFnZXM+ZTE0NjMxPC9wYWdlcz48dm9sdW1lPjM4PC92
b2x1bWU+PG51bWJlcj4xMTwvbnVtYmVyPjxlZGl0aW9uPjIwMjEvMDYvMzA8L2VkaXRpb24+PGtl
eXdvcmRzPjxrZXl3b3JkPkFjdXRlIERpc2Vhc2U8L2tleXdvcmQ+PGtleXdvcmQ+QWdlZDwva2V5
d29yZD48a2V5d29yZD5CbG9vZCBHbHVjb3NlL21ldGFib2xpc208L2tleXdvcmQ+PGtleXdvcmQ+
Qy1QZXB0aWRlL21ldGFib2xpc208L2tleXdvcmQ+PGtleXdvcmQ+Q09WSUQtMTkvKnByZXZlbnRp
b24gJmFtcDsgY29udHJvbDwva2V5d29yZD48a2V5d29yZD5DT1ZJRC0xOSBWYWNjaW5lcy8qdGhl
cmFwZXV0aWMgdXNlPC9rZXl3b3JkPjxrZXl3b3JkPkNoQWRPeDEgbkNvVi0xOTwva2V5d29yZD48
a2V5d29yZD5Db21vcmJpZGl0eTwva2V5d29yZD48a2V5d29yZD5FbWVyZ2VuY2llczwva2V5d29y
ZD48a2V5d29yZD5IdW1hbnM8L2tleXdvcmQ+PGtleXdvcmQ+SHlwZXJnbHljZW1pYS8qZGlhZ25v
c2lzL2VwaWRlbWlvbG9neS9tZXRhYm9saXNtPC9rZXl3b3JkPjxrZXl3b3JkPkh5cGVydGVuc2lv
bi9lcGlkZW1pb2xvZ3k8L2tleXdvcmQ+PGtleXdvcmQ+TWFsZTwva2V5d29yZD48a2V5d29yZD5N
ZXRhYm9saWMgU3luZHJvbWUvZXBpZGVtaW9sb2d5PC9rZXl3b3JkPjxrZXl3b3JkPk1pZGRsZSBB
Z2VkPC9rZXl3b3JkPjxrZXl3b3JkPlByZWRpYWJldGljIFN0YXRlL2VwaWRlbWlvbG9neTwva2V5
d29yZD48a2V5d29yZD5TQVJTLUNvVi0yPC9rZXl3b3JkPjxrZXl3b3JkPipjbGluaWNhbCBkaWFi
ZXRlczwva2V5d29yZD48a2V5d29yZD4qZGlhYmV0ZXM8L2tleXdvcmQ+PGtleXdvcmQ+KmluLXBh
dGllbnQgZGlhYmV0ZXM8L2tleXdvcmQ+PGtleXdvcmQ+KmtldG9hY2lkb3Npczwva2V5d29yZD48
a2V5d29yZD4qbWV0YWJvbGljIHN5bmRyb21lPC9rZXl3b3JkPjwva2V5d29yZHM+PGRhdGVzPjx5
ZWFyPjIwMjE8L3llYXI+PHB1Yi1kYXRlcz48ZGF0ZT5Ob3Y8L2RhdGU+PC9wdWItZGF0ZXM+PC9k
YXRlcz48aXNibj4wNzQyLTMwNzEgKFByaW50KSYjeEQ7MDc0Mi0zMDcxPC9pc2JuPjxhY2Nlc3Np
b24tbnVtPjM0MTg1OTI3PC9hY2Nlc3Npb24tbnVtPjx1cmxzPjwvdXJscz48Y3VzdG9tMj5QTUM4
NDIwNTY2PC9jdXN0b20yPjxlbGVjdHJvbmljLXJlc291cmNlLW51bT4xMC4xMTExL2RtZS4xNDYz
MTwvZWxlY3Ryb25pYy1yZXNvdXJjZS1udW0+PHJlbW90ZS1kYXRhYmFzZS1wcm92aWRlcj5OTE08
L3JlbW90ZS1kYXRhYmFzZS1wcm92aWRlcj48bGFuZ3VhZ2U+ZW5nPC9sYW5ndWFnZT48L3JlY29y
ZD48L0NpdGU+PENpdGU+PEF1dGhvcj5MZWU8L0F1dGhvcj48WWVhcj4yMDIxPC9ZZWFyPjxSZWNO
dW0+MzYwPC9SZWNOdW0+PHJlY29yZD48cmVjLW51bWJlcj4zNjA8L3JlYy1udW1iZXI+PGZvcmVp
Z24ta2V5cz48a2V5IGFwcD0iRU4iIGRiLWlkPSJyNXh6cGZkOWE1ZTU5a2U5MmVxdjByc2xkdHZ0
eGFwNWY5ZjAiIHRpbWVzdGFtcD0iMTY1NTcwNjU4MiI+MzYwPC9rZXk+PC9mb3JlaWduLWtleXM+
PHJlZi10eXBlIG5hbWU9IkpvdXJuYWwgQXJ0aWNsZSI+MTc8L3JlZi10eXBlPjxjb250cmlidXRv
cnM+PGF1dGhvcnM+PGF1dGhvcj5MZWUsIEguIEouPC9hdXRob3I+PGF1dGhvcj5TYWphbiwgQS48
L2F1dGhvcj48YXV0aG9yPlRvbWVyLCBZLjwvYXV0aG9yPjwvYXV0aG9ycz48L2NvbnRyaWJ1dG9y
cz48YXV0aC1hZGRyZXNzPkRpdmlzaW9uIG9mIEVuZG9jcmlub2xvZ3ksIERlcGFydG1lbnQgb2Yg
TWVkaWNpbmUsIEFsYmVydCBFaW5zdGVpbiBDb2xsZWdlIG9mIE1lZGljaW5lLCBCcm9ueCwgTlkg
MTA0NjEsIFVTQS4mI3hEO0ZsZWlzY2hlciBJbnN0aXR1dGUgZm9yIERpYWJldGVzIGFuZCBNZXRh
Ym9saXNtLCBBbGJlcnQgRWluc3RlaW4gQ29sbGVnZSBvZiBNZWRpY2luZSBhbmQgTW9udGVmaW9y
ZSBNZWRpY2FsIENlbnRlciwgQnJvbngsIE5ZIDEwNDYxLCBVU0EuPC9hdXRoLWFkZHJlc3M+PHRp
dGxlcz48dGl0bGU+SHlwZXJnbHljZW1pYyBFbWVyZ2VuY2llcyBBc3NvY2lhdGVkIFdpdGggQ09W
SUQtMTkgVmFjY2luYXRpb246IEEgQ2FzZSBTZXJpZXMgYW5kIERpc2N1c3Npb248L3RpdGxlPjxz
ZWNvbmRhcnktdGl0bGU+SiBFbmRvY3IgU29jPC9zZWNvbmRhcnktdGl0bGU+PC90aXRsZXM+PHBl
cmlvZGljYWw+PGZ1bGwtdGl0bGU+SiBFbmRvY3IgU29jPC9mdWxsLXRpdGxlPjwvcGVyaW9kaWNh
bD48cGFnZXM+YnZhYjE0MTwvcGFnZXM+PHZvbHVtZT41PC92b2x1bWU+PG51bWJlcj4xMTwvbnVt
YmVyPjxlZGl0aW9uPjIwMjEvMTAvMDU8L2VkaXRpb24+PGtleXdvcmRzPjxrZXl3b3JkPkNvdmlk
LTE5PC9rZXl3b3JkPjxrZXl3b3JkPlNBUlMtQ29WLTI8L2tleXdvcmQ+PGtleXdvcmQ+ZGlhYmV0
ZXM8L2tleXdvcmQ+PGtleXdvcmQ+aHlwZXJnbHljZW1pYTwva2V5d29yZD48a2V5d29yZD52YWNj
aW5lPC9rZXl3b3JkPjwva2V5d29yZHM+PGRhdGVzPjx5ZWFyPjIwMjE8L3llYXI+PHB1Yi1kYXRl
cz48ZGF0ZT5Ob3YgMTwvZGF0ZT48L3B1Yi1kYXRlcz48L2RhdGVzPjxpc2JuPjI0NzItMTk3Mjwv
aXNibj48YWNjZXNzaW9uLW51bT4zNDYwNDY4OTwvYWNjZXNzaW9uLW51bT48dXJscz48L3VybHM+
PGN1c3RvbTI+UE1DODQ3NzkxNTwvY3VzdG9tMj48ZWxlY3Ryb25pYy1yZXNvdXJjZS1udW0+MTAu
MTIxMC9qZW5kc28vYnZhYjE0MTwvZWxlY3Ryb25pYy1yZXNvdXJjZS1udW0+PHJlbW90ZS1kYXRh
YmFzZS1wcm92aWRlcj5OTE08L3JlbW90ZS1kYXRhYmFzZS1wcm92aWRlcj48bGFuZ3VhZ2U+ZW5n
PC9sYW5ndWFnZT48L3JlY29yZD48L0NpdGU+PENpdGU+PEF1dGhvcj5UYW5nPC9BdXRob3I+PFll
YXI+MjAyMjwvWWVhcj48UmVjTnVtPjM2MzwvUmVjTnVtPjxyZWNvcmQ+PHJlYy1udW1iZXI+MzYz
PC9yZWMtbnVtYmVyPjxmb3JlaWduLWtleXM+PGtleSBhcHA9IkVOIiBkYi1pZD0icjV4enBmZDlh
NWU1OWtlOTJlcXYwcnNsZHR2dHhhcDVmOWYwIiB0aW1lc3RhbXA9IjE2NTY4MzIyMTgiPjM2Mzwv
a2V5PjwvZm9yZWlnbi1rZXlzPjxyZWYtdHlwZSBuYW1lPSJKb3VybmFsIEFydGljbGUiPjE3PC9y
ZWYtdHlwZT48Y29udHJpYnV0b3JzPjxhdXRob3JzPjxhdXRob3I+VGFuZywgWC48L2F1dGhvcj48
YXV0aG9yPkhlLCBCLjwvYXV0aG9yPjxhdXRob3I+TGl1LCBaLjwvYXV0aG9yPjxhdXRob3I+Wmhv
dSwgWi48L2F1dGhvcj48YXV0aG9yPkxpLCBYLjwvYXV0aG9yPjwvYXV0aG9ycz48L2NvbnRyaWJ1
dG9ycz48YXV0aC1hZGRyZXNzPk5hdGlvbmFsIENsaW5pY2FsIFJlc2VhcmNoIENlbnRlciBmb3Ig
TWV0YWJvbGljIERpc2Vhc2VzLCBLZXkgTGFib3JhdG9yeSBvZiBEaWFiZXRlcyBJbW11bm9sb2d5
IChDZW50cmFsIFNvdXRoIFVuaXZlcnNpdHkpLCBNaW5pc3RyeSBvZiBFZHVjYXRpb24sIGFuZCBE
ZXBhcnRtZW50IG9mIE1ldGFib2xpc20gYW5kIEVuZG9jcmlub2xvZ3ksIFRoZSBTZWNvbmQgWGlh
bmd5YSBIb3NwaXRhbCBvZiBDZW50cmFsIFNvdXRoIFVuaXZlcnNpdHksIE5vLiAxMzkgUmVubWlu
IE1pZGRsZSBSb2FkLCBGdXJvbmcgRGlzdHJpY3QsIENoYW5nc2hhLCBIdW5hbiA0MTAwMTEsIENo
aW5hLiYjeEQ7RGl2aXNpb24gb2YgRW5kb2NyaW5vbG9neSBhbmQgTWV0YWJvbGlzbSwgRGVwYXJ0
bWVudCBvZiBNZWRpY2luZSwgVW5pdmVyc2l0eSBvZiBWaXJnaW5pYSBIZWFsdGggU3lzdGVtLCBD
aGFybG90dGVzdmlsbGUsIFZBLCBVU0EuJiN4RDtOYXRpb25hbCBDbGluaWNhbCBSZXNlYXJjaCBD
ZW50ZXIgZm9yIE1ldGFib2xpYyBEaXNlYXNlcywgS2V5IExhYm9yYXRvcnkgb2YgRGlhYmV0ZXMg
SW1tdW5vbG9neSAoQ2VudHJhbCBTb3V0aCBVbml2ZXJzaXR5KSwgTWluaXN0cnkgb2YgRWR1Y2F0
aW9uLCBhbmQgRGVwYXJ0bWVudCBvZiBNZXRhYm9saXNtIGFuZCBFbmRvY3Jpbm9sb2d5LCBUaGUg
U2Vjb25kIFhpYW5neWEgSG9zcGl0YWwgb2YgQ2VudHJhbCBTb3V0aCBVbml2ZXJzaXR5LCBOby4g
MTM5IFJlbm1pbiBNaWRkbGUgUm9hZCwgRnVyb25nIERpc3RyaWN0LCBDaGFuZ3NoYSwgSHVuYW4g
NDEwMDExLCBDaGluYS4gRWxlY3Ryb25pYyBhZGRyZXNzOiB6aG91emhpZ3VhbmdAY3N1LmVkdS5j
bi4mI3hEO05hdGlvbmFsIENsaW5pY2FsIFJlc2VhcmNoIENlbnRlciBmb3IgTWV0YWJvbGljIERp
c2Vhc2VzLCBLZXkgTGFib3JhdG9yeSBvZiBEaWFiZXRlcyBJbW11bm9sb2d5IChDZW50cmFsIFNv
dXRoIFVuaXZlcnNpdHkpLCBNaW5pc3RyeSBvZiBFZHVjYXRpb24sIGFuZCBEZXBhcnRtZW50IG9m
IE1ldGFib2xpc20gYW5kIEVuZG9jcmlub2xvZ3ksIFRoZSBTZWNvbmQgWGlhbmd5YSBIb3NwaXRh
bCBvZiBDZW50cmFsIFNvdXRoIFVuaXZlcnNpdHksIE5vLiAxMzkgUmVubWluIE1pZGRsZSBSb2Fk
LCBGdXJvbmcgRGlzdHJpY3QsIENoYW5nc2hhLCBIdW5hbiA0MTAwMTEsIENoaW5hLiBFbGVjdHJv
bmljIGFkZHJlc3M6IGxpeGlhQGNzdS5lZHUuY24uPC9hdXRoLWFkZHJlc3M+PHRpdGxlcz48dGl0
bGU+RnVsbWluYW50IHR5cGUgMSBkaWFiZXRlcyBhZnRlciBDT1ZJRC0xOSB2YWNjaW5hdGlvbjwv
dGl0bGU+PHNlY29uZGFyeS10aXRsZT5EaWFiZXRlcyBNZXRhYjwvc2Vjb25kYXJ5LXRpdGxlPjwv
dGl0bGVzPjxwZXJpb2RpY2FsPjxmdWxsLXRpdGxlPkRpYWJldGVzIE1ldGFiPC9mdWxsLXRpdGxl
PjwvcGVyaW9kaWNhbD48cGFnZXM+MTAxMzI0PC9wYWdlcz48dm9sdW1lPjQ4PC92b2x1bWU+PG51
bWJlcj4yPC9udW1iZXI+PGVkaXRpb24+MjAyMi8wMS8zMDwvZWRpdGlvbj48a2V5d29yZHM+PGtl
eXdvcmQ+KkNPVklELTE5L3ByZXZlbnRpb24gJmFtcDsgY29udHJvbDwva2V5d29yZD48a2V5d29y
ZD5DT1ZJRC0xOSBWYWNjaW5lcy9hZHZlcnNlIGVmZmVjdHM8L2tleXdvcmQ+PGtleXdvcmQ+KkRp
YWJldGVzIE1lbGxpdHVzLCBUeXBlIDE8L2tleXdvcmQ+PGtleXdvcmQ+KkRpYWJldGljIEtldG9h
Y2lkb3Npczwva2V5d29yZD48a2V5d29yZD5IdW1hbnM8L2tleXdvcmQ+PGtleXdvcmQ+VmFjY2lu
YXRpb24vYWR2ZXJzZSBlZmZlY3RzPC9rZXl3b3JkPjxrZXl3b3JkPipDT1ZJRC0xOSB2YWNjaW5h
dGlvbjwva2V5d29yZD48a2V5d29yZD4qQ2FzZSByZXBvcnQ8L2tleXdvcmQ+PGtleXdvcmQ+KkZ1
bG1pbmFudCB0eXBlIDEgZGlhYmV0ZXM8L2tleXdvcmQ+PGtleXdvcmQ+Kkh1bWFuIGxldWtvY3l0
ZSBhbnRpZ2VuPC9rZXl3b3JkPjxrZXl3b3JkPipJc2xldCBhbnRpYm9kaWVzPC9rZXl3b3JkPjwv
a2V5d29yZHM+PGRhdGVzPjx5ZWFyPjIwMjI8L3llYXI+PHB1Yi1kYXRlcz48ZGF0ZT5NYXI8L2Rh
dGU+PC9wdWItZGF0ZXM+PC9kYXRlcz48aXNibj4xMjYyLTM2MzYgKFByaW50KSYjeEQ7MTI2Mi0z
NjM2PC9pc2JuPjxhY2Nlc3Npb24tbnVtPjM1MDkxMDkyPC9hY2Nlc3Npb24tbnVtPjx1cmxzPjwv
dXJscz48Y3VzdG9tMj5QTUM4Nzg2NTk2PC9jdXN0b20yPjxlbGVjdHJvbmljLXJlc291cmNlLW51
bT4xMC4xMDE2L2ouZGlhYmV0LjIwMjIuMTAxMzI0PC9lbGVjdHJvbmljLXJlc291cmNlLW51bT48
cmVtb3RlLWRhdGFiYXNlLXByb3ZpZGVyPk5MTTwvcmVtb3RlLWRhdGFiYXNlLXByb3ZpZGVyPjxs
YW5ndWFnZT5lbmc8L2xhbmd1YWdlPjwvcmVjb3JkPjwvQ2l0ZT48L0VuZE5vdGU+AG==
</w:fldData>
              </w:fldChar>
            </w:r>
            <w:r w:rsidR="00B76813">
              <w:rPr>
                <w:szCs w:val="24"/>
              </w:rPr>
              <w:instrText xml:space="preserve"> ADDIN EN.CITE.DATA </w:instrText>
            </w:r>
            <w:r w:rsidR="00B76813">
              <w:rPr>
                <w:szCs w:val="24"/>
              </w:rPr>
            </w:r>
            <w:r w:rsidR="00B76813">
              <w:rPr>
                <w:szCs w:val="24"/>
              </w:rPr>
              <w:fldChar w:fldCharType="end"/>
            </w:r>
            <w:r w:rsidRPr="00C73979">
              <w:rPr>
                <w:szCs w:val="24"/>
              </w:rPr>
            </w:r>
            <w:r w:rsidRPr="00C73979">
              <w:rPr>
                <w:szCs w:val="24"/>
              </w:rPr>
              <w:fldChar w:fldCharType="separate"/>
            </w:r>
            <w:r w:rsidR="00B76813" w:rsidRPr="00B76813">
              <w:rPr>
                <w:noProof/>
                <w:szCs w:val="24"/>
                <w:vertAlign w:val="superscript"/>
              </w:rPr>
              <w:t>3-5</w:t>
            </w:r>
            <w:r w:rsidRPr="00C73979">
              <w:rPr>
                <w:szCs w:val="24"/>
              </w:rPr>
              <w:fldChar w:fldCharType="end"/>
            </w:r>
            <w:r w:rsidRPr="00C7397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1E3C4EE9" w14:textId="7D24247E" w:rsidR="003E5A02" w:rsidRDefault="00A87378" w:rsidP="00A87378">
            <w:pPr>
              <w:spacing w:line="240" w:lineRule="auto"/>
              <w:jc w:val="both"/>
              <w:rPr>
                <w:szCs w:val="24"/>
              </w:rPr>
            </w:pPr>
            <w:r w:rsidRPr="00C73979">
              <w:rPr>
                <w:szCs w:val="24"/>
              </w:rPr>
              <w:t xml:space="preserve">However, case reports and series do not quantify the absolute risk of </w:t>
            </w:r>
            <w:r w:rsidR="0093407D">
              <w:rPr>
                <w:szCs w:val="24"/>
              </w:rPr>
              <w:t>DM</w:t>
            </w:r>
            <w:r w:rsidRPr="00C73979">
              <w:rPr>
                <w:szCs w:val="24"/>
              </w:rPr>
              <w:t xml:space="preserve"> and inform if COVID-19 vaccination</w:t>
            </w:r>
            <w:r>
              <w:rPr>
                <w:szCs w:val="24"/>
                <w:lang w:val="en-US"/>
              </w:rPr>
              <w:t xml:space="preserve"> </w:t>
            </w:r>
            <w:r w:rsidRPr="00C73979">
              <w:rPr>
                <w:szCs w:val="24"/>
              </w:rPr>
              <w:t xml:space="preserve">is associated with an increased risk of </w:t>
            </w:r>
            <w:r w:rsidR="0093407D">
              <w:rPr>
                <w:szCs w:val="24"/>
              </w:rPr>
              <w:t>DM</w:t>
            </w:r>
            <w:r>
              <w:rPr>
                <w:szCs w:val="24"/>
              </w:rPr>
              <w:t xml:space="preserve">. </w:t>
            </w:r>
            <w:r w:rsidRPr="00C73979">
              <w:rPr>
                <w:szCs w:val="24"/>
              </w:rPr>
              <w:t xml:space="preserve">Such information is essential to inform clinical practice for advising patients </w:t>
            </w:r>
            <w:r w:rsidR="009D62EC">
              <w:rPr>
                <w:szCs w:val="24"/>
              </w:rPr>
              <w:t>about</w:t>
            </w:r>
            <w:r w:rsidRPr="00C73979">
              <w:rPr>
                <w:szCs w:val="24"/>
              </w:rPr>
              <w:t xml:space="preserve"> COVID-19 vaccination</w:t>
            </w:r>
            <w:r>
              <w:rPr>
                <w:szCs w:val="24"/>
                <w:lang w:val="en-US"/>
              </w:rPr>
              <w:t xml:space="preserve">, </w:t>
            </w:r>
            <w:r w:rsidRPr="00C73979">
              <w:rPr>
                <w:szCs w:val="24"/>
              </w:rPr>
              <w:t>and the subsequent follow-up or surveillance.</w:t>
            </w:r>
          </w:p>
          <w:p w14:paraId="080C42E3" w14:textId="16CEFFE9" w:rsidR="005E1176" w:rsidRPr="00C73979" w:rsidRDefault="005E1176" w:rsidP="00A87378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3E5A02" w:rsidRPr="00C73979" w14:paraId="30C227E7" w14:textId="77777777" w:rsidTr="007A781B">
        <w:trPr>
          <w:gridAfter w:val="1"/>
          <w:wAfter w:w="342" w:type="dxa"/>
          <w:trHeight w:val="101"/>
        </w:trPr>
        <w:tc>
          <w:tcPr>
            <w:tcW w:w="1491" w:type="dxa"/>
            <w:gridSpan w:val="2"/>
          </w:tcPr>
          <w:p w14:paraId="6C0C8D46" w14:textId="079A4410" w:rsidR="003E5A02" w:rsidRPr="00C73979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2.</w:t>
            </w:r>
          </w:p>
        </w:tc>
        <w:tc>
          <w:tcPr>
            <w:tcW w:w="7944" w:type="dxa"/>
            <w:gridSpan w:val="3"/>
          </w:tcPr>
          <w:p w14:paraId="08F4C1F9" w14:textId="645A0206" w:rsidR="003E5A02" w:rsidRPr="00C73979" w:rsidRDefault="006D530A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noProof/>
                <w:sz w:val="24"/>
                <w:szCs w:val="24"/>
              </w:rPr>
            </w:pPr>
            <w:hyperlink w:anchor="_Toc351646345" w:history="1">
              <w:r w:rsidR="003E5A02" w:rsidRPr="00C73979">
                <w:rPr>
                  <w:noProof/>
                  <w:sz w:val="24"/>
                  <w:szCs w:val="24"/>
                </w:rPr>
                <w:t>OBJECTIVES</w:t>
              </w:r>
            </w:hyperlink>
          </w:p>
        </w:tc>
      </w:tr>
      <w:tr w:rsidR="003E5A02" w:rsidRPr="00C73979" w14:paraId="3D76535C" w14:textId="77777777" w:rsidTr="007A781B">
        <w:trPr>
          <w:gridAfter w:val="1"/>
          <w:wAfter w:w="342" w:type="dxa"/>
          <w:trHeight w:val="101"/>
        </w:trPr>
        <w:tc>
          <w:tcPr>
            <w:tcW w:w="1491" w:type="dxa"/>
            <w:gridSpan w:val="2"/>
          </w:tcPr>
          <w:p w14:paraId="392159C7" w14:textId="77777777" w:rsidR="003E5A02" w:rsidRPr="00C73979" w:rsidRDefault="003E5A02" w:rsidP="00070A15">
            <w:pPr>
              <w:spacing w:line="240" w:lineRule="auto"/>
              <w:ind w:left="709"/>
              <w:jc w:val="both"/>
              <w:rPr>
                <w:szCs w:val="24"/>
              </w:rPr>
            </w:pPr>
          </w:p>
        </w:tc>
        <w:tc>
          <w:tcPr>
            <w:tcW w:w="7944" w:type="dxa"/>
            <w:gridSpan w:val="3"/>
          </w:tcPr>
          <w:p w14:paraId="02F4AD1A" w14:textId="77777777" w:rsidR="003E5A02" w:rsidRDefault="00AA220D" w:rsidP="003E5A02">
            <w:pPr>
              <w:spacing w:line="240" w:lineRule="auto"/>
              <w:jc w:val="both"/>
              <w:rPr>
                <w:szCs w:val="24"/>
              </w:rPr>
            </w:pPr>
            <w:r w:rsidRPr="00C73979">
              <w:rPr>
                <w:szCs w:val="24"/>
              </w:rPr>
              <w:t xml:space="preserve">This population-based study aims to evaluate the risks of incident </w:t>
            </w:r>
            <w:r w:rsidR="009E3A1E">
              <w:rPr>
                <w:szCs w:val="24"/>
              </w:rPr>
              <w:t>DM</w:t>
            </w:r>
            <w:r w:rsidRPr="00C73979">
              <w:rPr>
                <w:szCs w:val="24"/>
              </w:rPr>
              <w:t xml:space="preserve"> </w:t>
            </w:r>
            <w:r w:rsidR="0093407D">
              <w:rPr>
                <w:szCs w:val="24"/>
              </w:rPr>
              <w:t>following mRNA</w:t>
            </w:r>
            <w:r w:rsidR="007A39B7">
              <w:rPr>
                <w:szCs w:val="24"/>
              </w:rPr>
              <w:t xml:space="preserve">, </w:t>
            </w:r>
            <w:r w:rsidR="0093407D">
              <w:rPr>
                <w:szCs w:val="24"/>
              </w:rPr>
              <w:t>inactivated</w:t>
            </w:r>
            <w:r w:rsidRPr="00C73979">
              <w:rPr>
                <w:szCs w:val="24"/>
              </w:rPr>
              <w:t xml:space="preserve"> COVID-19 </w:t>
            </w:r>
            <w:r w:rsidR="007A39B7" w:rsidRPr="007A39B7">
              <w:rPr>
                <w:szCs w:val="24"/>
              </w:rPr>
              <w:t xml:space="preserve">vaccines </w:t>
            </w:r>
            <w:r w:rsidR="005F6423">
              <w:rPr>
                <w:szCs w:val="24"/>
              </w:rPr>
              <w:t>and COVID-19 infection</w:t>
            </w:r>
            <w:r w:rsidR="00A87378">
              <w:rPr>
                <w:szCs w:val="24"/>
              </w:rPr>
              <w:t>.</w:t>
            </w:r>
          </w:p>
          <w:p w14:paraId="23819679" w14:textId="0AABFC24" w:rsidR="005E1176" w:rsidRPr="00C73979" w:rsidRDefault="005E1176" w:rsidP="003E5A02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3E5A02" w:rsidRPr="00C73979" w14:paraId="6FDF9822" w14:textId="77777777" w:rsidTr="007A781B">
        <w:trPr>
          <w:gridAfter w:val="1"/>
          <w:wAfter w:w="342" w:type="dxa"/>
          <w:trHeight w:val="101"/>
        </w:trPr>
        <w:tc>
          <w:tcPr>
            <w:tcW w:w="1491" w:type="dxa"/>
            <w:gridSpan w:val="2"/>
          </w:tcPr>
          <w:p w14:paraId="2C7A8F81" w14:textId="4397F8D5" w:rsidR="003E5A02" w:rsidRPr="00C73979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944" w:type="dxa"/>
            <w:gridSpan w:val="3"/>
          </w:tcPr>
          <w:p w14:paraId="7F68BB1F" w14:textId="4F7DE9AE" w:rsidR="003E5A02" w:rsidRPr="00C73979" w:rsidRDefault="006D530A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rFonts w:eastAsiaTheme="majorEastAsia"/>
                <w:noProof/>
                <w:sz w:val="24"/>
                <w:szCs w:val="24"/>
              </w:rPr>
            </w:pPr>
            <w:hyperlink w:anchor="_Toc351646344" w:history="1">
              <w:bookmarkStart w:id="8" w:name="_Toc34041942"/>
              <w:bookmarkStart w:id="9" w:name="_Toc34120307"/>
              <w:bookmarkStart w:id="10" w:name="_Toc98844148"/>
              <w:r w:rsidR="003E5A02" w:rsidRPr="00C73979">
                <w:rPr>
                  <w:rStyle w:val="Hyperlink"/>
                  <w:rFonts w:eastAsiaTheme="majorEastAsia"/>
                  <w:noProof/>
                  <w:color w:val="auto"/>
                  <w:sz w:val="24"/>
                  <w:szCs w:val="24"/>
                  <w:u w:val="none"/>
                </w:rPr>
                <w:t>STUDY</w:t>
              </w:r>
            </w:hyperlink>
            <w:r w:rsidR="003E5A02" w:rsidRPr="00C73979">
              <w:rPr>
                <w:rStyle w:val="Hyperlink"/>
                <w:rFonts w:eastAsiaTheme="majorEastAsia"/>
                <w:noProof/>
                <w:color w:val="auto"/>
                <w:sz w:val="24"/>
                <w:szCs w:val="24"/>
                <w:u w:val="none"/>
              </w:rPr>
              <w:t xml:space="preserve"> DESIGN</w:t>
            </w:r>
            <w:bookmarkEnd w:id="8"/>
            <w:bookmarkEnd w:id="9"/>
            <w:bookmarkEnd w:id="10"/>
          </w:p>
        </w:tc>
      </w:tr>
      <w:tr w:rsidR="003E5A02" w:rsidRPr="00C73979" w14:paraId="14EA5456" w14:textId="77777777" w:rsidTr="007A781B">
        <w:trPr>
          <w:trHeight w:val="101"/>
        </w:trPr>
        <w:tc>
          <w:tcPr>
            <w:tcW w:w="1491" w:type="dxa"/>
            <w:gridSpan w:val="2"/>
          </w:tcPr>
          <w:p w14:paraId="533DC1CC" w14:textId="79488460" w:rsidR="003E5A02" w:rsidRPr="00C73979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C73979">
              <w:rPr>
                <w:sz w:val="20"/>
              </w:rPr>
              <w:t>3a</w:t>
            </w:r>
          </w:p>
        </w:tc>
        <w:tc>
          <w:tcPr>
            <w:tcW w:w="8286" w:type="dxa"/>
            <w:gridSpan w:val="4"/>
          </w:tcPr>
          <w:p w14:paraId="3A6D79E7" w14:textId="31F02EE5" w:rsidR="003E5A02" w:rsidRPr="00C73979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Design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: </w:t>
            </w:r>
            <w:r w:rsidR="00A87378" w:rsidRPr="00CA06A9">
              <w:rPr>
                <w:b w:val="0"/>
                <w:bCs/>
                <w:sz w:val="24"/>
                <w:szCs w:val="24"/>
              </w:rPr>
              <w:t xml:space="preserve">We will evaluate the risk of </w:t>
            </w:r>
            <w:r w:rsidR="009E3A1E">
              <w:rPr>
                <w:b w:val="0"/>
                <w:bCs/>
                <w:sz w:val="24"/>
                <w:szCs w:val="24"/>
              </w:rPr>
              <w:t>DM</w:t>
            </w:r>
            <w:r w:rsidR="00A87378" w:rsidRPr="00CA06A9">
              <w:rPr>
                <w:b w:val="0"/>
                <w:bCs/>
                <w:sz w:val="24"/>
                <w:szCs w:val="24"/>
              </w:rPr>
              <w:t xml:space="preserve"> following COVID-19 vaccination</w:t>
            </w:r>
            <w:r w:rsidR="007A39B7">
              <w:rPr>
                <w:b w:val="0"/>
                <w:bCs/>
                <w:sz w:val="24"/>
                <w:szCs w:val="24"/>
              </w:rPr>
              <w:t xml:space="preserve"> and infection</w:t>
            </w:r>
            <w:r w:rsidR="004C59F5">
              <w:rPr>
                <w:b w:val="0"/>
                <w:bCs/>
                <w:sz w:val="24"/>
                <w:szCs w:val="24"/>
              </w:rPr>
              <w:t>.</w:t>
            </w:r>
            <w:r w:rsidR="00A87378" w:rsidRPr="00CA06A9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3E5A02" w:rsidRPr="00C73979" w14:paraId="424E14AF" w14:textId="77777777" w:rsidTr="007A781B">
        <w:trPr>
          <w:trHeight w:val="101"/>
        </w:trPr>
        <w:tc>
          <w:tcPr>
            <w:tcW w:w="1491" w:type="dxa"/>
            <w:gridSpan w:val="2"/>
          </w:tcPr>
          <w:p w14:paraId="5FEF0BA2" w14:textId="6E0B4551" w:rsidR="003E5A02" w:rsidRPr="00C73979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C73979">
              <w:rPr>
                <w:sz w:val="20"/>
              </w:rPr>
              <w:t>3b</w:t>
            </w:r>
          </w:p>
        </w:tc>
        <w:tc>
          <w:tcPr>
            <w:tcW w:w="8286" w:type="dxa"/>
            <w:gridSpan w:val="4"/>
          </w:tcPr>
          <w:p w14:paraId="5302F8CE" w14:textId="0209B32B" w:rsidR="009A0B74" w:rsidRPr="00D35AED" w:rsidRDefault="003E5A02" w:rsidP="00AA220D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  <w:lang w:val="en-US"/>
              </w:rPr>
            </w:pPr>
            <w:r w:rsidRPr="00C73979">
              <w:rPr>
                <w:sz w:val="24"/>
                <w:szCs w:val="24"/>
              </w:rPr>
              <w:t>Data source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: </w:t>
            </w:r>
            <w:r w:rsidR="004F4720" w:rsidRPr="004F4720">
              <w:rPr>
                <w:b w:val="0"/>
                <w:bCs/>
                <w:sz w:val="24"/>
                <w:szCs w:val="24"/>
              </w:rPr>
              <w:t xml:space="preserve">The study </w:t>
            </w:r>
            <w:r w:rsidR="00625E6D">
              <w:rPr>
                <w:b w:val="0"/>
                <w:bCs/>
                <w:sz w:val="24"/>
                <w:szCs w:val="24"/>
              </w:rPr>
              <w:t>will be</w:t>
            </w:r>
            <w:r w:rsidR="004F4720" w:rsidRPr="004F4720">
              <w:rPr>
                <w:b w:val="0"/>
                <w:bCs/>
                <w:sz w:val="24"/>
                <w:szCs w:val="24"/>
              </w:rPr>
              <w:t xml:space="preserve"> conducted using COVID-19-confirmed case records and COVID-19 vaccination records from the Department of Health (DH), and electronic medical records (EMR</w:t>
            </w:r>
            <w:r w:rsidR="004F4720">
              <w:rPr>
                <w:b w:val="0"/>
                <w:bCs/>
                <w:sz w:val="24"/>
                <w:szCs w:val="24"/>
              </w:rPr>
              <w:t>s</w:t>
            </w:r>
            <w:r w:rsidR="004F4720" w:rsidRPr="004F4720">
              <w:rPr>
                <w:b w:val="0"/>
                <w:bCs/>
                <w:sz w:val="24"/>
                <w:szCs w:val="24"/>
              </w:rPr>
              <w:t xml:space="preserve">) from the Hong Kong Hospital Authority (HA). </w:t>
            </w:r>
            <w:r w:rsidR="00D35AED" w:rsidRPr="00D35AED">
              <w:rPr>
                <w:b w:val="0"/>
                <w:bCs/>
                <w:sz w:val="24"/>
                <w:szCs w:val="24"/>
              </w:rPr>
              <w:t>Vaccination</w:t>
            </w:r>
            <w:r w:rsidR="00B46E7B">
              <w:rPr>
                <w:b w:val="0"/>
                <w:bCs/>
                <w:sz w:val="24"/>
                <w:szCs w:val="24"/>
              </w:rPr>
              <w:t xml:space="preserve">, infection and </w:t>
            </w:r>
            <w:r w:rsidR="00D35AED" w:rsidRPr="00D35AED">
              <w:rPr>
                <w:b w:val="0"/>
                <w:bCs/>
                <w:sz w:val="24"/>
                <w:szCs w:val="24"/>
              </w:rPr>
              <w:t xml:space="preserve">electronic health records are available for analysis up to </w:t>
            </w:r>
            <w:r w:rsidR="005F6423">
              <w:rPr>
                <w:b w:val="0"/>
                <w:bCs/>
                <w:sz w:val="24"/>
                <w:szCs w:val="24"/>
              </w:rPr>
              <w:t>15th</w:t>
            </w:r>
            <w:r w:rsidR="00D35AED" w:rsidRPr="00D35AED">
              <w:rPr>
                <w:b w:val="0"/>
                <w:bCs/>
                <w:sz w:val="24"/>
                <w:szCs w:val="24"/>
              </w:rPr>
              <w:t xml:space="preserve"> </w:t>
            </w:r>
            <w:r w:rsidR="005F6423">
              <w:rPr>
                <w:b w:val="0"/>
                <w:bCs/>
                <w:sz w:val="24"/>
                <w:szCs w:val="24"/>
              </w:rPr>
              <w:t>August</w:t>
            </w:r>
            <w:r w:rsidR="00D35AED" w:rsidRPr="00D35AED">
              <w:rPr>
                <w:b w:val="0"/>
                <w:bCs/>
                <w:sz w:val="24"/>
                <w:szCs w:val="24"/>
              </w:rPr>
              <w:t xml:space="preserve"> 2022.</w:t>
            </w:r>
          </w:p>
          <w:p w14:paraId="6480F544" w14:textId="0BE09BF3" w:rsidR="00884896" w:rsidRPr="00C73979" w:rsidRDefault="00884896" w:rsidP="00884896">
            <w:r w:rsidRPr="004C59F5">
              <w:rPr>
                <w:b/>
              </w:rPr>
              <w:t>Setting of data:</w:t>
            </w:r>
            <w:r w:rsidRPr="00C73979">
              <w:t xml:space="preserve"> inpatient and outpatient</w:t>
            </w:r>
          </w:p>
        </w:tc>
      </w:tr>
      <w:tr w:rsidR="003E5A02" w:rsidRPr="00C73979" w14:paraId="2D3C507C" w14:textId="77777777" w:rsidTr="007A781B">
        <w:trPr>
          <w:trHeight w:val="101"/>
        </w:trPr>
        <w:tc>
          <w:tcPr>
            <w:tcW w:w="1491" w:type="dxa"/>
            <w:gridSpan w:val="2"/>
          </w:tcPr>
          <w:p w14:paraId="01C1BD79" w14:textId="416F2ABD" w:rsidR="003E5A02" w:rsidRPr="00C73979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C73979">
              <w:rPr>
                <w:sz w:val="20"/>
              </w:rPr>
              <w:t>3c</w:t>
            </w:r>
          </w:p>
        </w:tc>
        <w:tc>
          <w:tcPr>
            <w:tcW w:w="8286" w:type="dxa"/>
            <w:gridSpan w:val="4"/>
          </w:tcPr>
          <w:p w14:paraId="6CB3BDE7" w14:textId="34E34978" w:rsidR="003E5A02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Details of data handling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: </w:t>
            </w:r>
            <w:r w:rsidR="004C59F5" w:rsidRPr="004C59F5">
              <w:rPr>
                <w:b w:val="0"/>
                <w:bCs/>
                <w:sz w:val="24"/>
                <w:szCs w:val="24"/>
              </w:rPr>
              <w:t>All</w:t>
            </w:r>
            <w:r w:rsidR="00B46E7B">
              <w:rPr>
                <w:b w:val="0"/>
                <w:bCs/>
                <w:sz w:val="24"/>
                <w:szCs w:val="24"/>
              </w:rPr>
              <w:t xml:space="preserve"> eligible</w:t>
            </w:r>
            <w:r w:rsidR="004C59F5" w:rsidRPr="004C59F5">
              <w:rPr>
                <w:b w:val="0"/>
                <w:bCs/>
                <w:sz w:val="24"/>
                <w:szCs w:val="24"/>
              </w:rPr>
              <w:t xml:space="preserve"> patients’ EMRs </w:t>
            </w:r>
            <w:r w:rsidR="00B46E7B">
              <w:rPr>
                <w:b w:val="0"/>
                <w:bCs/>
                <w:sz w:val="24"/>
                <w:szCs w:val="24"/>
              </w:rPr>
              <w:t>since</w:t>
            </w:r>
            <w:r w:rsidR="004C59F5" w:rsidRPr="004C59F5">
              <w:rPr>
                <w:b w:val="0"/>
                <w:bCs/>
                <w:sz w:val="24"/>
                <w:szCs w:val="24"/>
              </w:rPr>
              <w:t xml:space="preserve"> 2018 </w:t>
            </w:r>
            <w:r w:rsidR="009D62EC">
              <w:rPr>
                <w:b w:val="0"/>
                <w:bCs/>
                <w:sz w:val="24"/>
                <w:szCs w:val="24"/>
              </w:rPr>
              <w:t>will be</w:t>
            </w:r>
            <w:r w:rsidR="004C59F5" w:rsidRPr="004C59F5">
              <w:rPr>
                <w:b w:val="0"/>
                <w:bCs/>
                <w:sz w:val="24"/>
                <w:szCs w:val="24"/>
              </w:rPr>
              <w:t xml:space="preserve"> extracted from the HA</w:t>
            </w:r>
            <w:r w:rsidR="00B46E7B">
              <w:rPr>
                <w:b w:val="0"/>
                <w:bCs/>
                <w:sz w:val="24"/>
                <w:szCs w:val="24"/>
              </w:rPr>
              <w:t xml:space="preserve">. The </w:t>
            </w:r>
            <w:r w:rsidR="00B46E7B" w:rsidRPr="004C59F5">
              <w:rPr>
                <w:b w:val="0"/>
                <w:bCs/>
                <w:sz w:val="24"/>
                <w:szCs w:val="24"/>
              </w:rPr>
              <w:t>vaccination</w:t>
            </w:r>
            <w:r w:rsidR="00B46E7B">
              <w:rPr>
                <w:b w:val="0"/>
                <w:bCs/>
                <w:sz w:val="24"/>
                <w:szCs w:val="24"/>
              </w:rPr>
              <w:t xml:space="preserve"> and infection</w:t>
            </w:r>
            <w:r w:rsidR="00B46E7B" w:rsidRPr="004C59F5">
              <w:rPr>
                <w:b w:val="0"/>
                <w:bCs/>
                <w:sz w:val="24"/>
                <w:szCs w:val="24"/>
              </w:rPr>
              <w:t xml:space="preserve"> records </w:t>
            </w:r>
            <w:r w:rsidR="00B46E7B">
              <w:rPr>
                <w:b w:val="0"/>
                <w:bCs/>
                <w:sz w:val="24"/>
                <w:szCs w:val="24"/>
              </w:rPr>
              <w:t xml:space="preserve">will be </w:t>
            </w:r>
            <w:r w:rsidR="004C59F5" w:rsidRPr="004C59F5">
              <w:rPr>
                <w:b w:val="0"/>
                <w:bCs/>
                <w:sz w:val="24"/>
                <w:szCs w:val="24"/>
              </w:rPr>
              <w:t xml:space="preserve">cross-linked with </w:t>
            </w:r>
            <w:r w:rsidR="00B46E7B">
              <w:rPr>
                <w:b w:val="0"/>
                <w:bCs/>
                <w:sz w:val="24"/>
                <w:szCs w:val="24"/>
              </w:rPr>
              <w:t xml:space="preserve">EMRs </w:t>
            </w:r>
            <w:r w:rsidR="004C59F5" w:rsidRPr="004C59F5">
              <w:rPr>
                <w:b w:val="0"/>
                <w:bCs/>
                <w:sz w:val="24"/>
                <w:szCs w:val="24"/>
              </w:rPr>
              <w:t>by hashed unique identifiers.</w:t>
            </w:r>
          </w:p>
          <w:p w14:paraId="4455DE42" w14:textId="7FA15E83" w:rsidR="005E1176" w:rsidRPr="005E1176" w:rsidRDefault="005E1176" w:rsidP="005E1176"/>
        </w:tc>
      </w:tr>
      <w:tr w:rsidR="003E5A02" w:rsidRPr="00C73979" w14:paraId="0FBA6D1F" w14:textId="77777777" w:rsidTr="007A781B">
        <w:trPr>
          <w:gridAfter w:val="1"/>
          <w:wAfter w:w="342" w:type="dxa"/>
          <w:trHeight w:val="101"/>
        </w:trPr>
        <w:tc>
          <w:tcPr>
            <w:tcW w:w="1491" w:type="dxa"/>
            <w:gridSpan w:val="2"/>
          </w:tcPr>
          <w:p w14:paraId="766430AF" w14:textId="54043037" w:rsidR="003E5A02" w:rsidRPr="00C73979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4.</w:t>
            </w:r>
          </w:p>
        </w:tc>
        <w:tc>
          <w:tcPr>
            <w:tcW w:w="7944" w:type="dxa"/>
            <w:gridSpan w:val="3"/>
          </w:tcPr>
          <w:p w14:paraId="3EB70EAA" w14:textId="008E83D5" w:rsidR="003E5A02" w:rsidRPr="00C73979" w:rsidRDefault="003E5A02" w:rsidP="003E5A0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bookmarkStart w:id="11" w:name="_Toc34041944"/>
            <w:bookmarkStart w:id="12" w:name="_Toc34120309"/>
            <w:bookmarkStart w:id="13" w:name="_Toc98844150"/>
            <w:r w:rsidRPr="00C73979">
              <w:rPr>
                <w:sz w:val="24"/>
                <w:szCs w:val="24"/>
              </w:rPr>
              <w:t>STUDY POPULATION</w:t>
            </w:r>
            <w:bookmarkEnd w:id="11"/>
            <w:bookmarkEnd w:id="12"/>
            <w:bookmarkEnd w:id="13"/>
          </w:p>
        </w:tc>
      </w:tr>
      <w:tr w:rsidR="007A781B" w:rsidRPr="00C73979" w14:paraId="64B464EF" w14:textId="77777777" w:rsidTr="007A781B">
        <w:trPr>
          <w:gridAfter w:val="2"/>
          <w:wAfter w:w="693" w:type="dxa"/>
          <w:trHeight w:val="607"/>
        </w:trPr>
        <w:tc>
          <w:tcPr>
            <w:tcW w:w="1125" w:type="dxa"/>
          </w:tcPr>
          <w:p w14:paraId="7DC6ED47" w14:textId="77777777" w:rsidR="007A781B" w:rsidRDefault="007A781B" w:rsidP="007A781B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7959" w:type="dxa"/>
            <w:gridSpan w:val="3"/>
          </w:tcPr>
          <w:p w14:paraId="74D87585" w14:textId="7624A83E" w:rsidR="007A781B" w:rsidRDefault="00AE333B" w:rsidP="007A781B">
            <w:pPr>
              <w:pStyle w:val="Heading1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For evaluating risks following </w:t>
            </w:r>
            <w:r w:rsidR="007A781B">
              <w:rPr>
                <w:b w:val="0"/>
                <w:bCs/>
                <w:sz w:val="24"/>
                <w:szCs w:val="24"/>
              </w:rPr>
              <w:t xml:space="preserve">COVID-19 infection: </w:t>
            </w:r>
          </w:p>
          <w:p w14:paraId="5389B367" w14:textId="498051FF" w:rsidR="007A781B" w:rsidRPr="007A781B" w:rsidRDefault="005E1176" w:rsidP="007A781B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E1176">
              <w:rPr>
                <w:b w:val="0"/>
                <w:bCs/>
                <w:sz w:val="24"/>
                <w:szCs w:val="24"/>
              </w:rPr>
              <w:t xml:space="preserve">COVID-19 patients </w:t>
            </w:r>
            <w:r>
              <w:rPr>
                <w:b w:val="0"/>
                <w:bCs/>
                <w:sz w:val="24"/>
                <w:szCs w:val="24"/>
              </w:rPr>
              <w:t>who have</w:t>
            </w:r>
            <w:r w:rsidRPr="005E1176">
              <w:rPr>
                <w:b w:val="0"/>
                <w:bCs/>
                <w:sz w:val="24"/>
                <w:szCs w:val="24"/>
              </w:rPr>
              <w:t xml:space="preserve"> a first positive result on the SARS-CoV-2 reverse transcription polymerase chain reaction (RT-PCR) test or rapid antigen test (RAT) from January 1, 2020, to March 31, 2022, and people who were never infected up to March 31, 2022</w:t>
            </w:r>
            <w:r>
              <w:rPr>
                <w:b w:val="0"/>
                <w:bCs/>
                <w:sz w:val="24"/>
                <w:szCs w:val="24"/>
              </w:rPr>
              <w:t xml:space="preserve"> will be identified from HA system.</w:t>
            </w:r>
          </w:p>
        </w:tc>
      </w:tr>
      <w:tr w:rsidR="007A781B" w:rsidRPr="00C73979" w14:paraId="0B1A3567" w14:textId="77777777" w:rsidTr="007A781B">
        <w:trPr>
          <w:trHeight w:val="607"/>
        </w:trPr>
        <w:tc>
          <w:tcPr>
            <w:tcW w:w="1620" w:type="dxa"/>
            <w:gridSpan w:val="3"/>
          </w:tcPr>
          <w:p w14:paraId="33723C20" w14:textId="1C7055FE" w:rsidR="007A781B" w:rsidRDefault="007A781B" w:rsidP="007A781B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73979">
              <w:rPr>
                <w:sz w:val="20"/>
              </w:rPr>
              <w:t>4a</w:t>
            </w:r>
          </w:p>
        </w:tc>
        <w:tc>
          <w:tcPr>
            <w:tcW w:w="8157" w:type="dxa"/>
            <w:gridSpan w:val="3"/>
          </w:tcPr>
          <w:p w14:paraId="40795E0F" w14:textId="78A9281F" w:rsidR="007A781B" w:rsidRPr="007A781B" w:rsidRDefault="007A781B" w:rsidP="007A781B">
            <w:r w:rsidRPr="007A781B">
              <w:rPr>
                <w:b/>
              </w:rPr>
              <w:t>Inclusion criteria</w:t>
            </w:r>
            <w:r>
              <w:t xml:space="preserve">: i. Aged ≥18; </w:t>
            </w:r>
          </w:p>
        </w:tc>
      </w:tr>
      <w:tr w:rsidR="007A781B" w:rsidRPr="00C73979" w14:paraId="12567264" w14:textId="77777777" w:rsidTr="007A781B">
        <w:trPr>
          <w:trHeight w:val="607"/>
        </w:trPr>
        <w:tc>
          <w:tcPr>
            <w:tcW w:w="1620" w:type="dxa"/>
            <w:gridSpan w:val="3"/>
          </w:tcPr>
          <w:p w14:paraId="4CD65964" w14:textId="25982870" w:rsidR="007A781B" w:rsidRPr="00C73979" w:rsidRDefault="009F37D2" w:rsidP="007A781B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0"/>
              </w:rPr>
              <w:t xml:space="preserve">                      </w:t>
            </w:r>
            <w:r w:rsidR="007A781B" w:rsidRPr="00C73979">
              <w:rPr>
                <w:sz w:val="20"/>
              </w:rPr>
              <w:t>4b</w:t>
            </w:r>
          </w:p>
        </w:tc>
        <w:tc>
          <w:tcPr>
            <w:tcW w:w="8157" w:type="dxa"/>
            <w:gridSpan w:val="3"/>
          </w:tcPr>
          <w:p w14:paraId="7788E36A" w14:textId="70170E5E" w:rsidR="00DE5BFB" w:rsidRDefault="007A781B" w:rsidP="007A781B">
            <w:r w:rsidRPr="007A781B">
              <w:rPr>
                <w:b/>
              </w:rPr>
              <w:t>Exclusion criteria</w:t>
            </w:r>
            <w:r>
              <w:t xml:space="preserve">: i. Death </w:t>
            </w:r>
            <w:r w:rsidR="00DE5BFB" w:rsidRPr="005257B0">
              <w:rPr>
                <w:rFonts w:eastAsia="Calibri"/>
              </w:rPr>
              <w:t>on or before the index</w:t>
            </w:r>
            <w:r w:rsidR="00DE5BFB">
              <w:rPr>
                <w:rFonts w:eastAsia="Calibri"/>
              </w:rPr>
              <w:t xml:space="preserve"> or pseudo-index date</w:t>
            </w:r>
            <w:r>
              <w:t xml:space="preserve">; ii. Without </w:t>
            </w:r>
            <w:r w:rsidR="00625E6D">
              <w:rPr>
                <w:color w:val="000000"/>
              </w:rPr>
              <w:t>Haemoglobin A1c</w:t>
            </w:r>
            <w:r w:rsidR="00625E6D">
              <w:t xml:space="preserve"> (</w:t>
            </w:r>
            <w:r>
              <w:t>HbA1c</w:t>
            </w:r>
            <w:r w:rsidR="00625E6D">
              <w:t>)</w:t>
            </w:r>
            <w:r>
              <w:t xml:space="preserve"> measured </w:t>
            </w:r>
            <w:r w:rsidR="00DE5BFB" w:rsidRPr="005257B0">
              <w:rPr>
                <w:rFonts w:eastAsia="Calibri"/>
              </w:rPr>
              <w:t>before the index</w:t>
            </w:r>
            <w:r w:rsidR="00DE5BFB">
              <w:rPr>
                <w:rFonts w:eastAsia="Calibri"/>
              </w:rPr>
              <w:t xml:space="preserve"> or pseudo-index date</w:t>
            </w:r>
            <w:r>
              <w:t xml:space="preserve">; iii. With incident </w:t>
            </w:r>
            <w:r w:rsidRPr="007A781B">
              <w:t xml:space="preserve">diabetes mellitus </w:t>
            </w:r>
            <w:r w:rsidR="00DE5BFB" w:rsidRPr="005257B0">
              <w:rPr>
                <w:rFonts w:eastAsia="Calibri"/>
              </w:rPr>
              <w:t>before the index</w:t>
            </w:r>
            <w:r w:rsidR="00DE5BFB">
              <w:rPr>
                <w:rFonts w:eastAsia="Calibri"/>
              </w:rPr>
              <w:t xml:space="preserve"> or pseudo-index </w:t>
            </w:r>
            <w:r>
              <w:t xml:space="preserve">date. </w:t>
            </w:r>
          </w:p>
          <w:p w14:paraId="56303462" w14:textId="294634AD" w:rsidR="009D62EC" w:rsidRPr="007A781B" w:rsidRDefault="007A781B" w:rsidP="007A781B">
            <w:r w:rsidRPr="007A781B">
              <w:t xml:space="preserve">Incident </w:t>
            </w:r>
            <w:r>
              <w:t xml:space="preserve">DM </w:t>
            </w:r>
            <w:r w:rsidRPr="007A781B">
              <w:t>is defined as (a) HbA1c levels &gt;= 6.5% (48 mmol/mol) or; (b) prescription record of diabetes medications for more than 30 days (insulin: 6.1.1.x; oral hypoglycaemic drugs: 6.1.2.x) or; (c) ICD-9-CM 250.xx or; (d) ICPC: T89 and T90.</w:t>
            </w:r>
            <w:r>
              <w:t xml:space="preserve"> </w:t>
            </w:r>
          </w:p>
        </w:tc>
      </w:tr>
      <w:tr w:rsidR="003E5A02" w:rsidRPr="00C73979" w14:paraId="176E8D1F" w14:textId="77777777" w:rsidTr="007A781B">
        <w:trPr>
          <w:gridAfter w:val="2"/>
          <w:wAfter w:w="693" w:type="dxa"/>
          <w:trHeight w:val="607"/>
        </w:trPr>
        <w:tc>
          <w:tcPr>
            <w:tcW w:w="1125" w:type="dxa"/>
          </w:tcPr>
          <w:p w14:paraId="06223946" w14:textId="77777777" w:rsidR="003E5A02" w:rsidRPr="00C73979" w:rsidRDefault="003E5A02" w:rsidP="00070A15">
            <w:pPr>
              <w:pStyle w:val="Heading1"/>
              <w:tabs>
                <w:tab w:val="left" w:pos="709"/>
              </w:tabs>
              <w:spacing w:line="240" w:lineRule="auto"/>
              <w:ind w:left="709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959" w:type="dxa"/>
            <w:gridSpan w:val="3"/>
          </w:tcPr>
          <w:p w14:paraId="7E183F79" w14:textId="6A2D70D6" w:rsidR="00A87378" w:rsidRDefault="00AE333B" w:rsidP="00A87378">
            <w:pPr>
              <w:pStyle w:val="Heading1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For evaluating risks following </w:t>
            </w:r>
            <w:r w:rsidR="00A87378">
              <w:rPr>
                <w:b w:val="0"/>
                <w:bCs/>
                <w:sz w:val="24"/>
                <w:szCs w:val="24"/>
              </w:rPr>
              <w:t xml:space="preserve">COVID-19 </w:t>
            </w:r>
            <w:r>
              <w:rPr>
                <w:b w:val="0"/>
                <w:bCs/>
                <w:sz w:val="24"/>
                <w:szCs w:val="24"/>
              </w:rPr>
              <w:t>Vaccination</w:t>
            </w:r>
            <w:r w:rsidR="00A87378">
              <w:rPr>
                <w:b w:val="0"/>
                <w:bCs/>
                <w:sz w:val="24"/>
                <w:szCs w:val="24"/>
              </w:rPr>
              <w:t xml:space="preserve">: </w:t>
            </w:r>
          </w:p>
          <w:p w14:paraId="543BDBDD" w14:textId="69DE0C03" w:rsidR="003E5A02" w:rsidRPr="00C73979" w:rsidRDefault="005E1176" w:rsidP="00A87378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</w:t>
            </w:r>
            <w:r w:rsidRPr="005E1176">
              <w:rPr>
                <w:b w:val="0"/>
                <w:bCs/>
                <w:sz w:val="24"/>
                <w:szCs w:val="24"/>
              </w:rPr>
              <w:t>eople who received at least one dose of COVID-19 vaccine from February 23, 2021, to September 30, 2021, and those who did not receive any COVID-19 vaccines up to September 30, 2021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BE520C">
              <w:rPr>
                <w:b w:val="0"/>
                <w:bCs/>
                <w:sz w:val="24"/>
                <w:szCs w:val="24"/>
              </w:rPr>
              <w:t>will be identified</w:t>
            </w:r>
            <w:r>
              <w:rPr>
                <w:b w:val="0"/>
                <w:bCs/>
                <w:sz w:val="24"/>
                <w:szCs w:val="24"/>
              </w:rPr>
              <w:t xml:space="preserve"> from HA system.</w:t>
            </w:r>
          </w:p>
        </w:tc>
      </w:tr>
      <w:tr w:rsidR="001B3092" w:rsidRPr="00C73979" w14:paraId="3C405C41" w14:textId="77777777" w:rsidTr="007A781B">
        <w:trPr>
          <w:trHeight w:val="101"/>
        </w:trPr>
        <w:tc>
          <w:tcPr>
            <w:tcW w:w="1491" w:type="dxa"/>
            <w:gridSpan w:val="2"/>
          </w:tcPr>
          <w:p w14:paraId="7F2B8CE6" w14:textId="57AFFF70" w:rsidR="001B3092" w:rsidRPr="00C73979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C73979">
              <w:rPr>
                <w:sz w:val="20"/>
              </w:rPr>
              <w:t>4a</w:t>
            </w:r>
          </w:p>
        </w:tc>
        <w:tc>
          <w:tcPr>
            <w:tcW w:w="8286" w:type="dxa"/>
            <w:gridSpan w:val="4"/>
          </w:tcPr>
          <w:p w14:paraId="07289DF4" w14:textId="1915CAC2" w:rsidR="001B3092" w:rsidRPr="00C73979" w:rsidRDefault="001B3092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Inclusion criteria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: </w:t>
            </w:r>
            <w:r w:rsidR="00AA220D" w:rsidRPr="00C73979">
              <w:rPr>
                <w:b w:val="0"/>
                <w:bCs/>
                <w:sz w:val="24"/>
                <w:szCs w:val="24"/>
              </w:rPr>
              <w:t xml:space="preserve">i. Aged ≥18; </w:t>
            </w:r>
          </w:p>
        </w:tc>
      </w:tr>
      <w:tr w:rsidR="001B3092" w:rsidRPr="00C73979" w14:paraId="35004D3A" w14:textId="77777777" w:rsidTr="007A781B">
        <w:trPr>
          <w:trHeight w:val="101"/>
        </w:trPr>
        <w:tc>
          <w:tcPr>
            <w:tcW w:w="1491" w:type="dxa"/>
            <w:gridSpan w:val="2"/>
          </w:tcPr>
          <w:p w14:paraId="7A378FE0" w14:textId="15E7442E" w:rsidR="001B3092" w:rsidRPr="00C73979" w:rsidRDefault="001B3092" w:rsidP="001F525D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0"/>
              </w:rPr>
            </w:pPr>
            <w:r w:rsidRPr="00C73979">
              <w:rPr>
                <w:sz w:val="20"/>
              </w:rPr>
              <w:t>4b</w:t>
            </w:r>
          </w:p>
        </w:tc>
        <w:tc>
          <w:tcPr>
            <w:tcW w:w="8286" w:type="dxa"/>
            <w:gridSpan w:val="4"/>
          </w:tcPr>
          <w:p w14:paraId="18162911" w14:textId="77777777" w:rsidR="001B3092" w:rsidRDefault="001B3092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Exclusion criteria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: </w:t>
            </w:r>
            <w:r w:rsidR="005E1176" w:rsidRPr="005E1176">
              <w:rPr>
                <w:b w:val="0"/>
                <w:bCs/>
                <w:sz w:val="24"/>
                <w:szCs w:val="24"/>
              </w:rPr>
              <w:t>i. Death on or before the index or pseudo-index date; ii. Without HbA1c measured before the index or pseudo-index date; iii. With incident diabetes mellitus before the index or pseudo-index date.</w:t>
            </w:r>
          </w:p>
          <w:p w14:paraId="1B916C9C" w14:textId="4689307E" w:rsidR="005E1176" w:rsidRPr="005E1176" w:rsidRDefault="005E1176" w:rsidP="005E1176"/>
        </w:tc>
      </w:tr>
      <w:tr w:rsidR="001B3092" w:rsidRPr="00C73979" w14:paraId="515E9BDE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0FFC9122" w14:textId="5426843B" w:rsidR="001B3092" w:rsidRPr="00C73979" w:rsidRDefault="001F525D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5</w:t>
            </w:r>
          </w:p>
        </w:tc>
        <w:tc>
          <w:tcPr>
            <w:tcW w:w="7959" w:type="dxa"/>
            <w:gridSpan w:val="3"/>
          </w:tcPr>
          <w:p w14:paraId="144FB850" w14:textId="49AFC5A8" w:rsidR="001B3092" w:rsidRPr="00C73979" w:rsidRDefault="00EB2153" w:rsidP="001B3092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STUDY OUTCOME</w:t>
            </w:r>
          </w:p>
        </w:tc>
      </w:tr>
      <w:tr w:rsidR="00EB2153" w:rsidRPr="00C73979" w14:paraId="1C588A9D" w14:textId="77777777" w:rsidTr="007A781B">
        <w:trPr>
          <w:trHeight w:val="101"/>
        </w:trPr>
        <w:tc>
          <w:tcPr>
            <w:tcW w:w="1491" w:type="dxa"/>
            <w:gridSpan w:val="2"/>
          </w:tcPr>
          <w:p w14:paraId="49E93A20" w14:textId="0D23360A" w:rsidR="00EB2153" w:rsidRPr="00C73979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73979">
              <w:rPr>
                <w:sz w:val="20"/>
              </w:rPr>
              <w:t>5a</w:t>
            </w:r>
          </w:p>
        </w:tc>
        <w:tc>
          <w:tcPr>
            <w:tcW w:w="8286" w:type="dxa"/>
            <w:gridSpan w:val="4"/>
          </w:tcPr>
          <w:p w14:paraId="37C85B04" w14:textId="440A71ED" w:rsidR="00EB2153" w:rsidRPr="00E71CA2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71CA2">
              <w:rPr>
                <w:sz w:val="24"/>
                <w:szCs w:val="24"/>
              </w:rPr>
              <w:t>Primary outcome</w:t>
            </w:r>
            <w:r w:rsidRPr="00E71CA2">
              <w:rPr>
                <w:b w:val="0"/>
                <w:bCs/>
                <w:sz w:val="24"/>
                <w:szCs w:val="24"/>
              </w:rPr>
              <w:t xml:space="preserve">: </w:t>
            </w:r>
            <w:r w:rsidR="009B6D86">
              <w:rPr>
                <w:b w:val="0"/>
                <w:bCs/>
                <w:sz w:val="24"/>
                <w:szCs w:val="24"/>
              </w:rPr>
              <w:t>1</w:t>
            </w:r>
            <w:r w:rsidR="009B6D86" w:rsidRPr="00E71CA2">
              <w:rPr>
                <w:b w:val="0"/>
                <w:bCs/>
                <w:sz w:val="24"/>
                <w:szCs w:val="24"/>
              </w:rPr>
              <w:t xml:space="preserve">) </w:t>
            </w:r>
            <w:r w:rsidR="001D5D83">
              <w:rPr>
                <w:b w:val="0"/>
                <w:bCs/>
                <w:sz w:val="24"/>
                <w:szCs w:val="24"/>
              </w:rPr>
              <w:t>DM</w:t>
            </w:r>
            <w:r w:rsidR="009B6D86">
              <w:rPr>
                <w:b w:val="0"/>
                <w:bCs/>
                <w:sz w:val="24"/>
                <w:szCs w:val="24"/>
              </w:rPr>
              <w:t xml:space="preserve">; 2) type 1 </w:t>
            </w:r>
            <w:r w:rsidR="001D5D83">
              <w:rPr>
                <w:b w:val="0"/>
                <w:bCs/>
                <w:sz w:val="24"/>
                <w:szCs w:val="24"/>
              </w:rPr>
              <w:t>DM</w:t>
            </w:r>
            <w:r w:rsidR="009B6D86">
              <w:rPr>
                <w:b w:val="0"/>
                <w:bCs/>
                <w:sz w:val="24"/>
                <w:szCs w:val="24"/>
              </w:rPr>
              <w:t xml:space="preserve"> (</w:t>
            </w:r>
            <w:r w:rsidR="009B6D86" w:rsidRPr="00BE520C">
              <w:rPr>
                <w:b w:val="0"/>
                <w:bCs/>
                <w:sz w:val="24"/>
                <w:szCs w:val="24"/>
              </w:rPr>
              <w:t>ICPC: T89 or; ICD-9: 250.x1, 250.x3</w:t>
            </w:r>
            <w:r w:rsidR="009B6D86">
              <w:rPr>
                <w:b w:val="0"/>
                <w:bCs/>
                <w:sz w:val="24"/>
                <w:szCs w:val="24"/>
              </w:rPr>
              <w:t xml:space="preserve">); 3) type 2 </w:t>
            </w:r>
            <w:r w:rsidR="001D5D83">
              <w:rPr>
                <w:b w:val="0"/>
                <w:bCs/>
                <w:sz w:val="24"/>
                <w:szCs w:val="24"/>
              </w:rPr>
              <w:t>DM</w:t>
            </w:r>
            <w:r w:rsidR="009B6D86">
              <w:rPr>
                <w:b w:val="0"/>
                <w:bCs/>
                <w:sz w:val="24"/>
                <w:szCs w:val="24"/>
              </w:rPr>
              <w:t xml:space="preserve"> (</w:t>
            </w:r>
            <w:r w:rsidR="002C0713">
              <w:rPr>
                <w:b w:val="0"/>
                <w:bCs/>
                <w:sz w:val="24"/>
                <w:szCs w:val="24"/>
              </w:rPr>
              <w:t xml:space="preserve">among patients with DM, they will be regarded as type 1 DM if they </w:t>
            </w:r>
            <w:r w:rsidR="009D62EC">
              <w:rPr>
                <w:b w:val="0"/>
                <w:bCs/>
                <w:sz w:val="24"/>
                <w:szCs w:val="24"/>
              </w:rPr>
              <w:t>are</w:t>
            </w:r>
            <w:r w:rsidR="002C0713">
              <w:rPr>
                <w:b w:val="0"/>
                <w:bCs/>
                <w:sz w:val="24"/>
                <w:szCs w:val="24"/>
              </w:rPr>
              <w:t xml:space="preserve"> not type </w:t>
            </w:r>
            <w:r w:rsidR="00C63372">
              <w:rPr>
                <w:b w:val="0"/>
                <w:bCs/>
                <w:sz w:val="24"/>
                <w:szCs w:val="24"/>
              </w:rPr>
              <w:t>2</w:t>
            </w:r>
            <w:r w:rsidR="002C0713">
              <w:rPr>
                <w:b w:val="0"/>
                <w:bCs/>
                <w:sz w:val="24"/>
                <w:szCs w:val="24"/>
              </w:rPr>
              <w:t xml:space="preserve"> DM</w:t>
            </w:r>
            <w:r w:rsidR="009B6D86">
              <w:rPr>
                <w:b w:val="0"/>
                <w:bCs/>
                <w:sz w:val="24"/>
                <w:szCs w:val="24"/>
              </w:rPr>
              <w:t>).</w:t>
            </w:r>
          </w:p>
        </w:tc>
      </w:tr>
      <w:tr w:rsidR="00EB2153" w:rsidRPr="00C73979" w14:paraId="6D01229F" w14:textId="77777777" w:rsidTr="007A781B">
        <w:trPr>
          <w:trHeight w:val="101"/>
        </w:trPr>
        <w:tc>
          <w:tcPr>
            <w:tcW w:w="1491" w:type="dxa"/>
            <w:gridSpan w:val="2"/>
          </w:tcPr>
          <w:p w14:paraId="0C6F07FC" w14:textId="249F6D39" w:rsidR="00EB2153" w:rsidRPr="00C73979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73979">
              <w:rPr>
                <w:sz w:val="20"/>
              </w:rPr>
              <w:t>5b</w:t>
            </w:r>
          </w:p>
        </w:tc>
        <w:tc>
          <w:tcPr>
            <w:tcW w:w="8286" w:type="dxa"/>
            <w:gridSpan w:val="4"/>
            <w:shd w:val="clear" w:color="auto" w:fill="auto"/>
          </w:tcPr>
          <w:p w14:paraId="6328298D" w14:textId="77777777" w:rsidR="00EB2153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71CA2">
              <w:rPr>
                <w:sz w:val="24"/>
                <w:szCs w:val="24"/>
              </w:rPr>
              <w:t>Secondary outcomes</w:t>
            </w:r>
            <w:r w:rsidRPr="00E71CA2">
              <w:rPr>
                <w:b w:val="0"/>
                <w:bCs/>
                <w:sz w:val="24"/>
                <w:szCs w:val="24"/>
              </w:rPr>
              <w:t xml:space="preserve">: </w:t>
            </w:r>
            <w:r w:rsidR="00CC54E4">
              <w:rPr>
                <w:b w:val="0"/>
                <w:bCs/>
                <w:sz w:val="24"/>
                <w:szCs w:val="24"/>
              </w:rPr>
              <w:t>1) acute</w:t>
            </w:r>
            <w:r w:rsidR="00CC54E4" w:rsidRPr="00E71CA2">
              <w:rPr>
                <w:b w:val="0"/>
                <w:bCs/>
                <w:sz w:val="24"/>
                <w:szCs w:val="24"/>
              </w:rPr>
              <w:t xml:space="preserve"> hyperglycaemia</w:t>
            </w:r>
            <w:r w:rsidR="00CC54E4">
              <w:rPr>
                <w:b w:val="0"/>
                <w:bCs/>
                <w:sz w:val="24"/>
                <w:szCs w:val="24"/>
              </w:rPr>
              <w:t xml:space="preserve"> (</w:t>
            </w:r>
            <w:r w:rsidR="00CC54E4" w:rsidRPr="00BE520C">
              <w:rPr>
                <w:b w:val="0"/>
                <w:bCs/>
                <w:sz w:val="24"/>
                <w:szCs w:val="24"/>
              </w:rPr>
              <w:t>ICD-9: 250.82–83, 250.20, 250.22–23</w:t>
            </w:r>
            <w:r w:rsidR="00CC54E4">
              <w:rPr>
                <w:b w:val="0"/>
                <w:bCs/>
                <w:sz w:val="24"/>
                <w:szCs w:val="24"/>
              </w:rPr>
              <w:t>); 2) d</w:t>
            </w:r>
            <w:r w:rsidR="00CC54E4" w:rsidRPr="0069402F">
              <w:rPr>
                <w:b w:val="0"/>
                <w:bCs/>
                <w:sz w:val="24"/>
                <w:szCs w:val="24"/>
              </w:rPr>
              <w:t>iabetic ketoacidosis</w:t>
            </w:r>
            <w:r w:rsidR="00CC54E4">
              <w:rPr>
                <w:b w:val="0"/>
                <w:bCs/>
                <w:sz w:val="24"/>
                <w:szCs w:val="24"/>
              </w:rPr>
              <w:t xml:space="preserve"> </w:t>
            </w:r>
            <w:r w:rsidR="00CC54E4" w:rsidRPr="00E71CA2">
              <w:rPr>
                <w:b w:val="0"/>
                <w:bCs/>
                <w:sz w:val="24"/>
                <w:szCs w:val="24"/>
              </w:rPr>
              <w:t>(ICD-9: 250.10, 250.12–13 and 250.30–33)</w:t>
            </w:r>
          </w:p>
          <w:p w14:paraId="0BCA5A91" w14:textId="0065F9AE" w:rsidR="005E1176" w:rsidRPr="005E1176" w:rsidRDefault="005E1176" w:rsidP="005E1176"/>
        </w:tc>
      </w:tr>
      <w:tr w:rsidR="00EB2153" w:rsidRPr="00E71CA2" w14:paraId="747E446E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6E9B0F64" w14:textId="0E0FABAE" w:rsidR="00EB2153" w:rsidRPr="00C73979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6</w:t>
            </w:r>
          </w:p>
        </w:tc>
        <w:tc>
          <w:tcPr>
            <w:tcW w:w="7959" w:type="dxa"/>
            <w:gridSpan w:val="3"/>
          </w:tcPr>
          <w:p w14:paraId="6BDF66F9" w14:textId="4B2217F1" w:rsidR="00EB2153" w:rsidRPr="00E71CA2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71CA2">
              <w:rPr>
                <w:sz w:val="24"/>
                <w:szCs w:val="24"/>
              </w:rPr>
              <w:t>EXPOSURE</w:t>
            </w:r>
          </w:p>
        </w:tc>
      </w:tr>
      <w:tr w:rsidR="00EB2153" w:rsidRPr="00C73979" w14:paraId="41C4BEC7" w14:textId="77777777" w:rsidTr="007A781B">
        <w:trPr>
          <w:trHeight w:val="101"/>
        </w:trPr>
        <w:tc>
          <w:tcPr>
            <w:tcW w:w="1491" w:type="dxa"/>
            <w:gridSpan w:val="2"/>
          </w:tcPr>
          <w:p w14:paraId="1E37E993" w14:textId="0CC900BE" w:rsidR="00EB2153" w:rsidRPr="00C73979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73979">
              <w:rPr>
                <w:sz w:val="20"/>
              </w:rPr>
              <w:t>6a</w:t>
            </w:r>
          </w:p>
        </w:tc>
        <w:tc>
          <w:tcPr>
            <w:tcW w:w="8286" w:type="dxa"/>
            <w:gridSpan w:val="4"/>
          </w:tcPr>
          <w:p w14:paraId="2B143868" w14:textId="41AAED8B" w:rsidR="00EB2153" w:rsidRPr="00C73979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Primary exposure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: </w:t>
            </w:r>
            <w:r w:rsidR="002C0713">
              <w:rPr>
                <w:b w:val="0"/>
                <w:bCs/>
                <w:sz w:val="24"/>
                <w:szCs w:val="24"/>
              </w:rPr>
              <w:t xml:space="preserve">COVID-19 </w:t>
            </w:r>
            <w:r w:rsidR="007A39B7">
              <w:rPr>
                <w:b w:val="0"/>
                <w:bCs/>
                <w:sz w:val="24"/>
                <w:szCs w:val="24"/>
              </w:rPr>
              <w:t>v</w:t>
            </w:r>
            <w:r w:rsidR="00656D4D">
              <w:rPr>
                <w:b w:val="0"/>
                <w:bCs/>
                <w:sz w:val="24"/>
                <w:szCs w:val="24"/>
              </w:rPr>
              <w:t>accination</w:t>
            </w:r>
          </w:p>
        </w:tc>
      </w:tr>
      <w:tr w:rsidR="00EB2153" w:rsidRPr="00C73979" w14:paraId="76E1DC9D" w14:textId="77777777" w:rsidTr="007A781B">
        <w:trPr>
          <w:trHeight w:val="101"/>
        </w:trPr>
        <w:tc>
          <w:tcPr>
            <w:tcW w:w="1491" w:type="dxa"/>
            <w:gridSpan w:val="2"/>
          </w:tcPr>
          <w:p w14:paraId="75AF33C7" w14:textId="048D9AC1" w:rsidR="00EB2153" w:rsidRPr="00C73979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73979">
              <w:rPr>
                <w:sz w:val="20"/>
              </w:rPr>
              <w:t>6b</w:t>
            </w:r>
          </w:p>
        </w:tc>
        <w:tc>
          <w:tcPr>
            <w:tcW w:w="8286" w:type="dxa"/>
            <w:gridSpan w:val="4"/>
          </w:tcPr>
          <w:p w14:paraId="1338A3DD" w14:textId="77777777" w:rsidR="00EB2153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Secondary exposure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: </w:t>
            </w:r>
            <w:r w:rsidR="002C0713">
              <w:rPr>
                <w:b w:val="0"/>
                <w:bCs/>
                <w:sz w:val="24"/>
                <w:szCs w:val="24"/>
              </w:rPr>
              <w:t>COVID-19 infection</w:t>
            </w:r>
            <w:r w:rsidR="00C73979" w:rsidRPr="00C73979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33D7BFB2" w14:textId="25323C1B" w:rsidR="005E1176" w:rsidRPr="005E1176" w:rsidRDefault="005E1176" w:rsidP="005E1176"/>
        </w:tc>
      </w:tr>
      <w:tr w:rsidR="00EB2153" w:rsidRPr="00C73979" w14:paraId="1B88FB1E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21B40770" w14:textId="0788EE1A" w:rsidR="00EB2153" w:rsidRPr="00C73979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7</w:t>
            </w:r>
          </w:p>
        </w:tc>
        <w:tc>
          <w:tcPr>
            <w:tcW w:w="7959" w:type="dxa"/>
            <w:gridSpan w:val="3"/>
          </w:tcPr>
          <w:p w14:paraId="51D961C7" w14:textId="36E254D4" w:rsidR="00EB2153" w:rsidRPr="00C73979" w:rsidRDefault="00EB2153" w:rsidP="00EB215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CONFOUNDERS/COVARIATES</w:t>
            </w:r>
          </w:p>
        </w:tc>
      </w:tr>
      <w:tr w:rsidR="00EB2153" w:rsidRPr="00C73979" w14:paraId="04D2F855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72AF0EA3" w14:textId="77777777" w:rsidR="00EB2153" w:rsidRPr="00C73979" w:rsidRDefault="00EB2153" w:rsidP="00BB3F93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59" w:type="dxa"/>
            <w:gridSpan w:val="3"/>
          </w:tcPr>
          <w:p w14:paraId="246E90F4" w14:textId="64C5AA03" w:rsidR="00EB2153" w:rsidRDefault="00EB2153" w:rsidP="00BB3F93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C73979">
              <w:rPr>
                <w:b w:val="0"/>
                <w:bCs/>
                <w:sz w:val="24"/>
                <w:szCs w:val="24"/>
              </w:rPr>
              <w:t xml:space="preserve">List all confounders to be considered and how they are operationalized. </w:t>
            </w:r>
            <w:r w:rsidR="00873314" w:rsidRPr="00C73979">
              <w:rPr>
                <w:b w:val="0"/>
                <w:bCs/>
                <w:sz w:val="24"/>
                <w:szCs w:val="24"/>
              </w:rPr>
              <w:t>e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.g., medication use specific generic name and the period based on which they are </w:t>
            </w:r>
            <w:r w:rsidR="00BB3F93" w:rsidRPr="00C73979">
              <w:rPr>
                <w:b w:val="0"/>
                <w:bCs/>
                <w:sz w:val="24"/>
                <w:szCs w:val="24"/>
              </w:rPr>
              <w:t>defined. Can be a numbered list.</w:t>
            </w:r>
          </w:p>
          <w:p w14:paraId="17A0C6B7" w14:textId="647748EA" w:rsidR="00525DEC" w:rsidRPr="00C73979" w:rsidRDefault="00525DEC" w:rsidP="00525DEC">
            <w:pPr>
              <w:pStyle w:val="ListParagraph"/>
              <w:numPr>
                <w:ilvl w:val="0"/>
                <w:numId w:val="11"/>
              </w:numPr>
            </w:pPr>
            <w:r w:rsidRPr="00C73979">
              <w:t>Age</w:t>
            </w:r>
          </w:p>
          <w:p w14:paraId="0DF421F7" w14:textId="753F3532" w:rsidR="00525DEC" w:rsidRDefault="005E1176" w:rsidP="00525DEC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Sex</w:t>
            </w:r>
          </w:p>
          <w:p w14:paraId="725B2A8C" w14:textId="079B4781" w:rsidR="005E1176" w:rsidRPr="00C73979" w:rsidRDefault="005E1176" w:rsidP="005E1176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 xml:space="preserve">Prediabetes (baseline HbA1c ≥ 5.7% </w:t>
            </w:r>
            <w:r w:rsidRPr="4D5B8C87">
              <w:t xml:space="preserve">and </w:t>
            </w:r>
            <w:r>
              <w:t>&lt;</w:t>
            </w:r>
            <w:r w:rsidRPr="4D5B8C87">
              <w:t>6.5%</w:t>
            </w:r>
            <w:r>
              <w:t>)</w:t>
            </w:r>
          </w:p>
          <w:p w14:paraId="452F0005" w14:textId="7785C147" w:rsidR="005E1176" w:rsidRDefault="005E1176" w:rsidP="005E1176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C</w:t>
            </w:r>
            <w:r w:rsidRPr="005E1176">
              <w:t xml:space="preserve">omorbidities </w:t>
            </w:r>
          </w:p>
          <w:p w14:paraId="3DA0245C" w14:textId="77777777" w:rsidR="00BB3F93" w:rsidRDefault="005E1176" w:rsidP="005E1176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U</w:t>
            </w:r>
            <w:r w:rsidRPr="005E1176">
              <w:t xml:space="preserve">se of medications </w:t>
            </w:r>
          </w:p>
          <w:p w14:paraId="7B8FF51E" w14:textId="6F90E14B" w:rsidR="005E1176" w:rsidRDefault="005E1176" w:rsidP="005E1176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P</w:t>
            </w:r>
            <w:r w:rsidRPr="3960BAD8">
              <w:t>revious SARS-CoV-2 infection</w:t>
            </w:r>
            <w:r>
              <w:t xml:space="preserve"> (for vaccination cohort only)</w:t>
            </w:r>
          </w:p>
          <w:p w14:paraId="745EB0C7" w14:textId="77777777" w:rsidR="005E1176" w:rsidRDefault="005E1176" w:rsidP="005E1176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Vaccination status (for infection cohort only)</w:t>
            </w:r>
          </w:p>
          <w:p w14:paraId="62DF0177" w14:textId="77777777" w:rsidR="005E1176" w:rsidRDefault="005E1176" w:rsidP="005E1176">
            <w:pPr>
              <w:spacing w:after="0"/>
            </w:pPr>
          </w:p>
          <w:p w14:paraId="71166FFC" w14:textId="0F7A536C" w:rsidR="005E1176" w:rsidRPr="00C73979" w:rsidRDefault="005E1176" w:rsidP="005E1176">
            <w:pPr>
              <w:spacing w:after="0"/>
            </w:pPr>
          </w:p>
        </w:tc>
      </w:tr>
      <w:tr w:rsidR="00BB3F93" w:rsidRPr="00C73979" w14:paraId="6462714B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7CC7D932" w14:textId="3531693E" w:rsidR="00BB3F93" w:rsidRPr="00C73979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8</w:t>
            </w:r>
          </w:p>
        </w:tc>
        <w:tc>
          <w:tcPr>
            <w:tcW w:w="7959" w:type="dxa"/>
            <w:gridSpan w:val="3"/>
          </w:tcPr>
          <w:p w14:paraId="19E43F70" w14:textId="5B647001" w:rsidR="00BB3F93" w:rsidRPr="00C73979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EFFECT MODIFICATION/STRATIFICATION</w:t>
            </w:r>
          </w:p>
        </w:tc>
      </w:tr>
      <w:tr w:rsidR="00BB3F93" w:rsidRPr="00C73979" w14:paraId="2CA1201D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6566E111" w14:textId="77777777" w:rsidR="00BB3F93" w:rsidRPr="00C73979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59" w:type="dxa"/>
            <w:gridSpan w:val="3"/>
          </w:tcPr>
          <w:p w14:paraId="36D536B9" w14:textId="4A4F3891" w:rsidR="00BB3F93" w:rsidRPr="00C73979" w:rsidRDefault="009408EE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C73979">
              <w:rPr>
                <w:b w:val="0"/>
                <w:bCs/>
                <w:sz w:val="24"/>
                <w:szCs w:val="24"/>
              </w:rPr>
              <w:t>Subgroup analyses will be conducted by age (&lt;6</w:t>
            </w:r>
            <w:r w:rsidR="00CE64DF">
              <w:rPr>
                <w:b w:val="0"/>
                <w:bCs/>
                <w:sz w:val="24"/>
                <w:szCs w:val="24"/>
              </w:rPr>
              <w:t>0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 vs ≥6</w:t>
            </w:r>
            <w:r w:rsidR="00CE64DF">
              <w:rPr>
                <w:b w:val="0"/>
                <w:bCs/>
                <w:sz w:val="24"/>
                <w:szCs w:val="24"/>
              </w:rPr>
              <w:t>0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 years)</w:t>
            </w:r>
            <w:r w:rsidR="009D62EC">
              <w:rPr>
                <w:b w:val="0"/>
                <w:bCs/>
                <w:sz w:val="24"/>
                <w:szCs w:val="24"/>
              </w:rPr>
              <w:t>,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 </w:t>
            </w:r>
            <w:r w:rsidR="005E1176">
              <w:rPr>
                <w:b w:val="0"/>
                <w:bCs/>
                <w:sz w:val="24"/>
                <w:szCs w:val="24"/>
              </w:rPr>
              <w:t xml:space="preserve">sex, 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and </w:t>
            </w:r>
            <w:r w:rsidR="005E1176">
              <w:rPr>
                <w:b w:val="0"/>
                <w:bCs/>
                <w:sz w:val="24"/>
                <w:szCs w:val="24"/>
              </w:rPr>
              <w:t>prediabetes</w:t>
            </w:r>
            <w:r w:rsidRPr="00C73979">
              <w:rPr>
                <w:b w:val="0"/>
                <w:bCs/>
                <w:sz w:val="24"/>
                <w:szCs w:val="24"/>
              </w:rPr>
              <w:t>.</w:t>
            </w:r>
            <w:r w:rsidR="005E1176">
              <w:rPr>
                <w:b w:val="0"/>
                <w:bCs/>
                <w:sz w:val="24"/>
                <w:szCs w:val="24"/>
              </w:rPr>
              <w:t xml:space="preserve"> </w:t>
            </w:r>
            <w:r w:rsidR="005E1176" w:rsidRPr="005E1176">
              <w:rPr>
                <w:b w:val="0"/>
                <w:bCs/>
                <w:sz w:val="24"/>
                <w:szCs w:val="24"/>
              </w:rPr>
              <w:t xml:space="preserve">In the infection cohort, we </w:t>
            </w:r>
            <w:r w:rsidR="005E1176">
              <w:rPr>
                <w:b w:val="0"/>
                <w:bCs/>
                <w:sz w:val="24"/>
                <w:szCs w:val="24"/>
              </w:rPr>
              <w:t>will also</w:t>
            </w:r>
            <w:r w:rsidR="005E1176" w:rsidRPr="005E1176">
              <w:rPr>
                <w:b w:val="0"/>
                <w:bCs/>
                <w:sz w:val="24"/>
                <w:szCs w:val="24"/>
              </w:rPr>
              <w:t xml:space="preserve"> perform subgroup analyses by vaccination status, and stratif</w:t>
            </w:r>
            <w:r w:rsidR="009D62EC">
              <w:rPr>
                <w:b w:val="0"/>
                <w:bCs/>
                <w:sz w:val="24"/>
                <w:szCs w:val="24"/>
              </w:rPr>
              <w:t>y</w:t>
            </w:r>
            <w:r w:rsidR="005E1176" w:rsidRPr="005E1176">
              <w:rPr>
                <w:b w:val="0"/>
                <w:bCs/>
                <w:sz w:val="24"/>
                <w:szCs w:val="24"/>
              </w:rPr>
              <w:t xml:space="preserve"> the participants into those who were infected before and those who were infected during the Omicron wave (since January 1, 2022).</w:t>
            </w:r>
          </w:p>
        </w:tc>
      </w:tr>
      <w:tr w:rsidR="00BB3F93" w:rsidRPr="00C73979" w14:paraId="4AC5A06F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12F12AD2" w14:textId="3B7297A1" w:rsidR="00BB3F93" w:rsidRPr="00C73979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9</w:t>
            </w:r>
          </w:p>
        </w:tc>
        <w:tc>
          <w:tcPr>
            <w:tcW w:w="7959" w:type="dxa"/>
            <w:gridSpan w:val="3"/>
          </w:tcPr>
          <w:p w14:paraId="4904733C" w14:textId="2F38BDF1" w:rsidR="00BB3F93" w:rsidRPr="00C73979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ANALYSIS</w:t>
            </w:r>
          </w:p>
        </w:tc>
      </w:tr>
      <w:tr w:rsidR="00BB3F93" w:rsidRPr="00C73979" w14:paraId="637931A6" w14:textId="77777777" w:rsidTr="007A781B">
        <w:trPr>
          <w:trHeight w:val="101"/>
        </w:trPr>
        <w:tc>
          <w:tcPr>
            <w:tcW w:w="1491" w:type="dxa"/>
            <w:gridSpan w:val="2"/>
          </w:tcPr>
          <w:p w14:paraId="1AA8A1C9" w14:textId="5A5DE9DE" w:rsidR="00BB3F93" w:rsidRPr="00C73979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73979">
              <w:rPr>
                <w:sz w:val="20"/>
              </w:rPr>
              <w:t>9a</w:t>
            </w:r>
          </w:p>
        </w:tc>
        <w:tc>
          <w:tcPr>
            <w:tcW w:w="8286" w:type="dxa"/>
            <w:gridSpan w:val="4"/>
          </w:tcPr>
          <w:p w14:paraId="52535F3B" w14:textId="76F0D6F8" w:rsidR="00BB3F93" w:rsidRPr="00812B43" w:rsidRDefault="00BB3F93" w:rsidP="00812B43">
            <w:pPr>
              <w:rPr>
                <w:bCs/>
                <w:szCs w:val="24"/>
              </w:rPr>
            </w:pPr>
            <w:r w:rsidRPr="00C73979">
              <w:rPr>
                <w:szCs w:val="24"/>
              </w:rPr>
              <w:t>Main analysis</w:t>
            </w:r>
            <w:r w:rsidRPr="00C73979">
              <w:rPr>
                <w:bCs/>
                <w:szCs w:val="24"/>
              </w:rPr>
              <w:t xml:space="preserve">: </w:t>
            </w:r>
            <w:r w:rsidR="002C0713" w:rsidRPr="002C0713">
              <w:rPr>
                <w:bCs/>
                <w:szCs w:val="24"/>
              </w:rPr>
              <w:t xml:space="preserve">We </w:t>
            </w:r>
            <w:r w:rsidR="00625E6D">
              <w:rPr>
                <w:bCs/>
                <w:szCs w:val="24"/>
              </w:rPr>
              <w:t>will use</w:t>
            </w:r>
            <w:r w:rsidR="002C0713" w:rsidRPr="002C0713">
              <w:rPr>
                <w:bCs/>
                <w:szCs w:val="24"/>
              </w:rPr>
              <w:t xml:space="preserve"> propensity-score matching without replacement using a caliper width of 0</w:t>
            </w:r>
            <w:r w:rsidR="00CE64DF">
              <w:rPr>
                <w:bCs/>
                <w:szCs w:val="24"/>
              </w:rPr>
              <w:t>.</w:t>
            </w:r>
            <w:r w:rsidR="002C0713" w:rsidRPr="002C0713">
              <w:rPr>
                <w:bCs/>
                <w:szCs w:val="24"/>
              </w:rPr>
              <w:t xml:space="preserve">05. Hazard ratios (HRs) with 95% CIs of each outcome between </w:t>
            </w:r>
            <w:r w:rsidR="007A39B7">
              <w:rPr>
                <w:bCs/>
                <w:szCs w:val="24"/>
              </w:rPr>
              <w:t>vaccination recipients/COVID-19 patients</w:t>
            </w:r>
            <w:r w:rsidR="002C0713" w:rsidRPr="002C0713">
              <w:rPr>
                <w:bCs/>
                <w:szCs w:val="24"/>
              </w:rPr>
              <w:t xml:space="preserve"> and their respective matched </w:t>
            </w:r>
            <w:r w:rsidR="007A39B7">
              <w:rPr>
                <w:bCs/>
                <w:szCs w:val="24"/>
              </w:rPr>
              <w:t>controls</w:t>
            </w:r>
            <w:r w:rsidR="002C0713" w:rsidRPr="002C0713">
              <w:rPr>
                <w:bCs/>
                <w:szCs w:val="24"/>
              </w:rPr>
              <w:t xml:space="preserve"> </w:t>
            </w:r>
            <w:r w:rsidR="009D62EC">
              <w:rPr>
                <w:bCs/>
                <w:szCs w:val="24"/>
              </w:rPr>
              <w:t>will be</w:t>
            </w:r>
            <w:r w:rsidR="002C0713" w:rsidRPr="002C0713">
              <w:rPr>
                <w:bCs/>
                <w:szCs w:val="24"/>
              </w:rPr>
              <w:t xml:space="preserve"> estimated using Cox regression models.</w:t>
            </w:r>
            <w:r w:rsidR="007A39B7">
              <w:rPr>
                <w:bCs/>
                <w:szCs w:val="24"/>
              </w:rPr>
              <w:t xml:space="preserve"> </w:t>
            </w:r>
            <w:r w:rsidR="00812B43" w:rsidRPr="00812B43">
              <w:rPr>
                <w:bCs/>
                <w:szCs w:val="24"/>
              </w:rPr>
              <w:t xml:space="preserve">The number of acute hyperglycaemia and DKA following vaccination </w:t>
            </w:r>
            <w:r w:rsidR="009D62EC">
              <w:rPr>
                <w:bCs/>
                <w:szCs w:val="24"/>
              </w:rPr>
              <w:t>will be</w:t>
            </w:r>
            <w:r w:rsidR="00812B43" w:rsidRPr="00812B43">
              <w:rPr>
                <w:bCs/>
                <w:szCs w:val="24"/>
              </w:rPr>
              <w:t xml:space="preserve"> reported</w:t>
            </w:r>
            <w:r w:rsidR="009D62EC">
              <w:rPr>
                <w:bCs/>
                <w:szCs w:val="24"/>
              </w:rPr>
              <w:t>.</w:t>
            </w:r>
          </w:p>
        </w:tc>
      </w:tr>
      <w:tr w:rsidR="00BB3F93" w:rsidRPr="00C73979" w14:paraId="5AB2F2F7" w14:textId="77777777" w:rsidTr="007A781B">
        <w:trPr>
          <w:trHeight w:val="101"/>
        </w:trPr>
        <w:tc>
          <w:tcPr>
            <w:tcW w:w="1491" w:type="dxa"/>
            <w:gridSpan w:val="2"/>
          </w:tcPr>
          <w:p w14:paraId="5C9122C0" w14:textId="74153892" w:rsidR="00BB3F93" w:rsidRPr="00C73979" w:rsidRDefault="00BB3F93" w:rsidP="00BB3F93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73979">
              <w:rPr>
                <w:sz w:val="20"/>
              </w:rPr>
              <w:t>9b</w:t>
            </w:r>
          </w:p>
        </w:tc>
        <w:tc>
          <w:tcPr>
            <w:tcW w:w="8286" w:type="dxa"/>
            <w:gridSpan w:val="4"/>
          </w:tcPr>
          <w:p w14:paraId="46EF0581" w14:textId="31ADC5C4" w:rsidR="00BB3F93" w:rsidRPr="008732F4" w:rsidRDefault="00BB3F93" w:rsidP="00A16C76">
            <w:pPr>
              <w:pStyle w:val="Heading1"/>
              <w:tabs>
                <w:tab w:val="left" w:pos="709"/>
              </w:tabs>
              <w:spacing w:line="240" w:lineRule="auto"/>
              <w:ind w:left="181"/>
              <w:jc w:val="both"/>
              <w:rPr>
                <w:b w:val="0"/>
                <w:bCs/>
                <w:sz w:val="24"/>
                <w:szCs w:val="24"/>
                <w:lang w:val="en-US"/>
              </w:rPr>
            </w:pPr>
            <w:r w:rsidRPr="00C73979">
              <w:rPr>
                <w:sz w:val="24"/>
                <w:szCs w:val="24"/>
              </w:rPr>
              <w:t>Sub-group analysis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: </w:t>
            </w:r>
            <w:r w:rsidR="008732F4" w:rsidRPr="008732F4">
              <w:rPr>
                <w:b w:val="0"/>
                <w:bCs/>
                <w:sz w:val="24"/>
                <w:szCs w:val="24"/>
              </w:rPr>
              <w:t>analyses correspond to the stratified specified under Section 8.</w:t>
            </w:r>
          </w:p>
        </w:tc>
      </w:tr>
      <w:tr w:rsidR="007D6E01" w:rsidRPr="003470D4" w14:paraId="354A70A0" w14:textId="77777777" w:rsidTr="007A781B">
        <w:trPr>
          <w:trHeight w:val="101"/>
        </w:trPr>
        <w:tc>
          <w:tcPr>
            <w:tcW w:w="1491" w:type="dxa"/>
            <w:gridSpan w:val="2"/>
          </w:tcPr>
          <w:p w14:paraId="741F97A5" w14:textId="6DC05FC3" w:rsidR="007D6E01" w:rsidRPr="00C73979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73979">
              <w:rPr>
                <w:sz w:val="20"/>
              </w:rPr>
              <w:t>9c</w:t>
            </w:r>
          </w:p>
        </w:tc>
        <w:tc>
          <w:tcPr>
            <w:tcW w:w="8286" w:type="dxa"/>
            <w:gridSpan w:val="4"/>
          </w:tcPr>
          <w:p w14:paraId="5B56B4B3" w14:textId="77777777" w:rsidR="007D6E01" w:rsidRDefault="007D6E01" w:rsidP="00A16C76">
            <w:pPr>
              <w:pStyle w:val="Heading1"/>
              <w:tabs>
                <w:tab w:val="left" w:pos="709"/>
              </w:tabs>
              <w:spacing w:line="240" w:lineRule="auto"/>
              <w:ind w:left="181"/>
              <w:jc w:val="both"/>
              <w:rPr>
                <w:b w:val="0"/>
                <w:bCs/>
                <w:sz w:val="24"/>
                <w:szCs w:val="24"/>
              </w:rPr>
            </w:pPr>
            <w:r w:rsidRPr="00C73979">
              <w:rPr>
                <w:sz w:val="24"/>
                <w:szCs w:val="24"/>
              </w:rPr>
              <w:t>Sensitivity analysis</w:t>
            </w:r>
            <w:r w:rsidRPr="00C73979">
              <w:rPr>
                <w:b w:val="0"/>
                <w:bCs/>
                <w:sz w:val="24"/>
                <w:szCs w:val="24"/>
              </w:rPr>
              <w:t xml:space="preserve">: </w:t>
            </w:r>
            <w:r w:rsidR="009408EE" w:rsidRPr="00C73979">
              <w:rPr>
                <w:b w:val="0"/>
                <w:bCs/>
                <w:sz w:val="24"/>
                <w:szCs w:val="24"/>
              </w:rPr>
              <w:t>Sensitivity analyses will be conducted</w:t>
            </w:r>
            <w:r w:rsidR="009D62EC">
              <w:rPr>
                <w:b w:val="0"/>
                <w:bCs/>
                <w:sz w:val="24"/>
                <w:szCs w:val="24"/>
              </w:rPr>
              <w:t>.</w:t>
            </w:r>
            <w:r w:rsidR="009408EE" w:rsidRPr="00C73979">
              <w:rPr>
                <w:b w:val="0"/>
                <w:bCs/>
                <w:sz w:val="24"/>
                <w:szCs w:val="24"/>
              </w:rPr>
              <w:t xml:space="preserve"> </w:t>
            </w:r>
            <w:r w:rsidR="009D62EC">
              <w:rPr>
                <w:b w:val="0"/>
                <w:bCs/>
                <w:sz w:val="24"/>
                <w:szCs w:val="24"/>
              </w:rPr>
              <w:t xml:space="preserve">(i) We will compare the </w:t>
            </w:r>
            <w:r w:rsidR="009D62EC" w:rsidRPr="009D62EC">
              <w:rPr>
                <w:b w:val="0"/>
                <w:bCs/>
                <w:sz w:val="24"/>
                <w:szCs w:val="24"/>
              </w:rPr>
              <w:t xml:space="preserve">incidence of diabetes following two doses of either CoronaVac or BNT162b2 with their 1:1 matched unvaccinated control. </w:t>
            </w:r>
            <w:r w:rsidR="009D62EC">
              <w:rPr>
                <w:b w:val="0"/>
                <w:bCs/>
                <w:sz w:val="24"/>
                <w:szCs w:val="24"/>
              </w:rPr>
              <w:t>(ii)</w:t>
            </w:r>
            <w:r w:rsidR="009D62EC" w:rsidRPr="009D62EC">
              <w:rPr>
                <w:b w:val="0"/>
                <w:bCs/>
                <w:sz w:val="24"/>
                <w:szCs w:val="24"/>
              </w:rPr>
              <w:t xml:space="preserve"> </w:t>
            </w:r>
            <w:r w:rsidR="009D62EC">
              <w:rPr>
                <w:b w:val="0"/>
                <w:bCs/>
                <w:sz w:val="24"/>
                <w:szCs w:val="24"/>
              </w:rPr>
              <w:t>P</w:t>
            </w:r>
            <w:r w:rsidR="009D62EC" w:rsidRPr="009D62EC">
              <w:rPr>
                <w:b w:val="0"/>
                <w:bCs/>
                <w:sz w:val="24"/>
                <w:szCs w:val="24"/>
              </w:rPr>
              <w:t xml:space="preserve">eople </w:t>
            </w:r>
            <w:r w:rsidR="009D62EC">
              <w:rPr>
                <w:b w:val="0"/>
                <w:bCs/>
                <w:sz w:val="24"/>
                <w:szCs w:val="24"/>
              </w:rPr>
              <w:t>will be</w:t>
            </w:r>
            <w:r w:rsidR="009D62EC" w:rsidRPr="009D62EC">
              <w:rPr>
                <w:b w:val="0"/>
                <w:bCs/>
                <w:sz w:val="24"/>
                <w:szCs w:val="24"/>
              </w:rPr>
              <w:t xml:space="preserve"> censored at the date of vaccination to remove potential modification effects by vaccination in the infection cohort.</w:t>
            </w:r>
          </w:p>
          <w:p w14:paraId="7B0977EB" w14:textId="13D13123" w:rsidR="009D62EC" w:rsidRPr="009D62EC" w:rsidRDefault="009D62EC" w:rsidP="009D62EC"/>
        </w:tc>
      </w:tr>
      <w:tr w:rsidR="005F23A0" w:rsidRPr="003470D4" w14:paraId="0E449B25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0184D0C0" w14:textId="1AD49917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9" w:type="dxa"/>
            <w:gridSpan w:val="3"/>
          </w:tcPr>
          <w:p w14:paraId="5F48FDFC" w14:textId="4B5EC3A1" w:rsidR="005F23A0" w:rsidRPr="007D6E01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SIZE CONSIDERATION</w:t>
            </w:r>
          </w:p>
        </w:tc>
      </w:tr>
      <w:tr w:rsidR="005F23A0" w:rsidRPr="003470D4" w14:paraId="07C2450D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79009D46" w14:textId="77777777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59" w:type="dxa"/>
            <w:gridSpan w:val="3"/>
          </w:tcPr>
          <w:p w14:paraId="279E8788" w14:textId="3281C264" w:rsidR="005F23A0" w:rsidRPr="005F23A0" w:rsidRDefault="009408EE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31395A">
              <w:rPr>
                <w:b w:val="0"/>
                <w:bCs/>
                <w:sz w:val="24"/>
                <w:szCs w:val="24"/>
              </w:rPr>
              <w:t xml:space="preserve">The sample size </w:t>
            </w:r>
            <w:r w:rsidR="008732F4">
              <w:rPr>
                <w:b w:val="0"/>
                <w:bCs/>
                <w:sz w:val="24"/>
                <w:szCs w:val="24"/>
              </w:rPr>
              <w:t xml:space="preserve">is </w:t>
            </w:r>
            <w:r w:rsidRPr="0031395A">
              <w:rPr>
                <w:b w:val="0"/>
                <w:bCs/>
                <w:sz w:val="24"/>
                <w:szCs w:val="24"/>
              </w:rPr>
              <w:t>based on the number of patients with</w:t>
            </w:r>
            <w:r w:rsidR="00624E8D">
              <w:rPr>
                <w:b w:val="0"/>
                <w:bCs/>
                <w:sz w:val="24"/>
                <w:szCs w:val="24"/>
              </w:rPr>
              <w:t>out</w:t>
            </w:r>
            <w:r w:rsidRPr="0031395A">
              <w:rPr>
                <w:b w:val="0"/>
                <w:bCs/>
                <w:sz w:val="24"/>
                <w:szCs w:val="24"/>
              </w:rPr>
              <w:t xml:space="preserve"> </w:t>
            </w:r>
            <w:r w:rsidR="001D5D83">
              <w:rPr>
                <w:b w:val="0"/>
                <w:bCs/>
                <w:sz w:val="24"/>
                <w:szCs w:val="24"/>
              </w:rPr>
              <w:t>DM</w:t>
            </w:r>
            <w:r w:rsidRPr="0031395A">
              <w:rPr>
                <w:b w:val="0"/>
                <w:bCs/>
                <w:sz w:val="24"/>
                <w:szCs w:val="24"/>
              </w:rPr>
              <w:t xml:space="preserve"> </w:t>
            </w:r>
            <w:r w:rsidR="00624E8D">
              <w:rPr>
                <w:b w:val="0"/>
                <w:bCs/>
                <w:sz w:val="24"/>
                <w:szCs w:val="24"/>
              </w:rPr>
              <w:t>before</w:t>
            </w:r>
            <w:r w:rsidRPr="0031395A">
              <w:rPr>
                <w:b w:val="0"/>
                <w:bCs/>
                <w:sz w:val="24"/>
                <w:szCs w:val="24"/>
              </w:rPr>
              <w:t xml:space="preserve"> vaccination</w:t>
            </w:r>
            <w:r w:rsidR="007A39B7">
              <w:rPr>
                <w:b w:val="0"/>
                <w:bCs/>
                <w:sz w:val="24"/>
                <w:szCs w:val="24"/>
              </w:rPr>
              <w:t xml:space="preserve"> and infection</w:t>
            </w:r>
            <w:r w:rsidR="00624E8D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7D6E01" w:rsidRPr="003470D4" w14:paraId="2565C44F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2211B678" w14:textId="05858B3B" w:rsid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3A0">
              <w:rPr>
                <w:sz w:val="24"/>
                <w:szCs w:val="24"/>
              </w:rPr>
              <w:t>1</w:t>
            </w:r>
          </w:p>
        </w:tc>
        <w:tc>
          <w:tcPr>
            <w:tcW w:w="7959" w:type="dxa"/>
            <w:gridSpan w:val="3"/>
          </w:tcPr>
          <w:p w14:paraId="1C91EE0A" w14:textId="1B64960A" w:rsidR="007D6E01" w:rsidRP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6E01">
              <w:rPr>
                <w:sz w:val="24"/>
                <w:szCs w:val="24"/>
              </w:rPr>
              <w:t>ANTICIPATED PITFALLS</w:t>
            </w:r>
          </w:p>
        </w:tc>
      </w:tr>
      <w:tr w:rsidR="007D6E01" w:rsidRPr="003470D4" w14:paraId="02718531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3290B304" w14:textId="77777777" w:rsidR="007D6E01" w:rsidRDefault="007D6E01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59" w:type="dxa"/>
            <w:gridSpan w:val="3"/>
          </w:tcPr>
          <w:p w14:paraId="53EDFB56" w14:textId="6D745A8A" w:rsidR="009408EE" w:rsidRDefault="009408EE" w:rsidP="009408EE">
            <w:pPr>
              <w:pStyle w:val="Heading1"/>
              <w:tabs>
                <w:tab w:val="left" w:pos="709"/>
              </w:tabs>
              <w:spacing w:after="0"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Any possible ways the </w:t>
            </w:r>
            <w:r w:rsidR="009D62EC">
              <w:rPr>
                <w:b w:val="0"/>
                <w:bCs/>
                <w:sz w:val="24"/>
                <w:szCs w:val="24"/>
              </w:rPr>
              <w:t>results</w:t>
            </w:r>
            <w:r>
              <w:rPr>
                <w:b w:val="0"/>
                <w:bCs/>
                <w:sz w:val="24"/>
                <w:szCs w:val="24"/>
              </w:rPr>
              <w:t xml:space="preserve"> could fail to achieve one or more of the study objectives.</w:t>
            </w:r>
          </w:p>
          <w:p w14:paraId="239DA7EC" w14:textId="0F3629E7" w:rsidR="009408EE" w:rsidRPr="00253966" w:rsidRDefault="00253966" w:rsidP="009408EE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szCs w:val="24"/>
              </w:rPr>
              <w:t>Confounding</w:t>
            </w:r>
            <w:r w:rsidR="00624E8D">
              <w:rPr>
                <w:szCs w:val="24"/>
              </w:rPr>
              <w:t xml:space="preserve"> bias</w:t>
            </w:r>
          </w:p>
          <w:p w14:paraId="2BF24D19" w14:textId="2E456746" w:rsidR="00253966" w:rsidRDefault="00253966" w:rsidP="009408EE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Misclassification bias</w:t>
            </w:r>
          </w:p>
          <w:p w14:paraId="743077D1" w14:textId="696FE9D5" w:rsidR="00040FF7" w:rsidRPr="0033552C" w:rsidRDefault="00040FF7" w:rsidP="00A16C76">
            <w:pPr>
              <w:pStyle w:val="ListParagraph"/>
              <w:spacing w:after="0"/>
            </w:pPr>
          </w:p>
        </w:tc>
      </w:tr>
      <w:tr w:rsidR="005F23A0" w:rsidRPr="003470D4" w14:paraId="07F25B55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2C05F3C6" w14:textId="1EE93B63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59" w:type="dxa"/>
            <w:gridSpan w:val="3"/>
          </w:tcPr>
          <w:p w14:paraId="7B65B58A" w14:textId="32C96FB1" w:rsidR="005F23A0" w:rsidRP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F23A0">
              <w:rPr>
                <w:sz w:val="24"/>
                <w:szCs w:val="24"/>
              </w:rPr>
              <w:t>RELEVANT RESEARCH CHECKLIST</w:t>
            </w:r>
          </w:p>
        </w:tc>
      </w:tr>
      <w:tr w:rsidR="005F23A0" w:rsidRPr="003470D4" w14:paraId="402EF24B" w14:textId="77777777" w:rsidTr="007A781B">
        <w:trPr>
          <w:gridAfter w:val="2"/>
          <w:wAfter w:w="693" w:type="dxa"/>
          <w:trHeight w:val="101"/>
        </w:trPr>
        <w:tc>
          <w:tcPr>
            <w:tcW w:w="1125" w:type="dxa"/>
          </w:tcPr>
          <w:p w14:paraId="77A68A71" w14:textId="77777777" w:rsidR="005F23A0" w:rsidRDefault="005F23A0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59" w:type="dxa"/>
            <w:gridSpan w:val="3"/>
          </w:tcPr>
          <w:p w14:paraId="4B1A0497" w14:textId="3ECBB68F" w:rsidR="005F23A0" w:rsidRDefault="009408EE" w:rsidP="007D6E01">
            <w:pPr>
              <w:pStyle w:val="Heading1"/>
              <w:tabs>
                <w:tab w:val="left" w:pos="709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The STROBE checklist will be used to enhance the reporting of the study. </w:t>
            </w:r>
          </w:p>
        </w:tc>
      </w:tr>
    </w:tbl>
    <w:p w14:paraId="305368E0" w14:textId="3B4F3DC0" w:rsidR="00F8546E" w:rsidRDefault="00F8546E" w:rsidP="007C5D67">
      <w:pPr>
        <w:rPr>
          <w:rFonts w:eastAsia="Calibri"/>
          <w:b/>
          <w:szCs w:val="24"/>
          <w:lang w:val="en-AU"/>
        </w:rPr>
      </w:pPr>
      <w:r>
        <w:rPr>
          <w:rFonts w:eastAsia="Calibri"/>
          <w:b/>
          <w:szCs w:val="24"/>
          <w:lang w:val="en-AU"/>
        </w:rPr>
        <w:br w:type="page"/>
      </w:r>
    </w:p>
    <w:p w14:paraId="1BBC377E" w14:textId="08E5B8CD" w:rsidR="00B44E46" w:rsidRDefault="00B44E46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525D" w14:paraId="6E935671" w14:textId="77777777" w:rsidTr="001F525D">
        <w:trPr>
          <w:trHeight w:val="485"/>
        </w:trPr>
        <w:tc>
          <w:tcPr>
            <w:tcW w:w="9355" w:type="dxa"/>
          </w:tcPr>
          <w:p w14:paraId="55A67996" w14:textId="14299EC2" w:rsidR="001F525D" w:rsidRDefault="00EB2153" w:rsidP="00615DC9">
            <w:pPr>
              <w:rPr>
                <w:rFonts w:eastAsia="Calibri"/>
                <w:noProof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AU"/>
              </w:rPr>
              <w:t>REFERENCES</w:t>
            </w:r>
            <w:r w:rsidRPr="00C91B5E">
              <w:rPr>
                <w:rFonts w:eastAsia="Calibri"/>
                <w:b/>
                <w:szCs w:val="24"/>
              </w:rPr>
              <w:t>:</w:t>
            </w:r>
          </w:p>
        </w:tc>
      </w:tr>
    </w:tbl>
    <w:p w14:paraId="275A3B10" w14:textId="77777777" w:rsidR="009408EE" w:rsidRDefault="009408EE" w:rsidP="009408EE">
      <w:pPr>
        <w:jc w:val="both"/>
        <w:rPr>
          <w:rFonts w:eastAsia="Calibri"/>
          <w:noProof/>
          <w:szCs w:val="24"/>
          <w:highlight w:val="yellow"/>
          <w:lang w:val="en-US"/>
        </w:rPr>
      </w:pPr>
    </w:p>
    <w:p w14:paraId="081B0834" w14:textId="77777777" w:rsidR="00E44C5F" w:rsidRPr="00E44C5F" w:rsidRDefault="005D79AE" w:rsidP="00E44C5F">
      <w:pPr>
        <w:pStyle w:val="EndNoteBibliography"/>
        <w:spacing w:after="0"/>
        <w:ind w:left="720" w:hanging="720"/>
      </w:pPr>
      <w:r w:rsidRPr="009408EE">
        <w:rPr>
          <w:rFonts w:eastAsia="Calibri"/>
          <w:szCs w:val="24"/>
          <w:highlight w:val="yellow"/>
        </w:rPr>
        <w:fldChar w:fldCharType="begin"/>
      </w:r>
      <w:r w:rsidRPr="009408EE">
        <w:rPr>
          <w:rFonts w:eastAsia="Calibri"/>
          <w:szCs w:val="24"/>
          <w:highlight w:val="yellow"/>
        </w:rPr>
        <w:instrText xml:space="preserve"> ADDIN EN.REFLIST </w:instrText>
      </w:r>
      <w:r w:rsidRPr="009408EE">
        <w:rPr>
          <w:rFonts w:eastAsia="Calibri"/>
          <w:szCs w:val="24"/>
          <w:highlight w:val="yellow"/>
        </w:rPr>
        <w:fldChar w:fldCharType="end"/>
      </w:r>
      <w:r w:rsidR="00E44C5F" w:rsidRPr="00E44C5F">
        <w:t xml:space="preserve">1. Khunti K, Del Prato S, Mathieu C, et al. COVID-19, Hyperglycemia, and New-Onset Diabetes. </w:t>
      </w:r>
      <w:r w:rsidR="00E44C5F" w:rsidRPr="00E44C5F">
        <w:rPr>
          <w:i/>
        </w:rPr>
        <w:t>Diabetes Care</w:t>
      </w:r>
      <w:r w:rsidR="00E44C5F" w:rsidRPr="00E44C5F">
        <w:t xml:space="preserve"> 2021;44(12):2645-55. doi: 10.2337/dc21-1318 [published Online First: 2021/10/10]</w:t>
      </w:r>
    </w:p>
    <w:p w14:paraId="50373ED4" w14:textId="77777777" w:rsidR="00E44C5F" w:rsidRPr="00E44C5F" w:rsidRDefault="00E44C5F" w:rsidP="00E44C5F">
      <w:pPr>
        <w:pStyle w:val="EndNoteBibliography"/>
        <w:spacing w:after="0"/>
        <w:ind w:left="720" w:hanging="720"/>
      </w:pPr>
      <w:r w:rsidRPr="00E44C5F">
        <w:t xml:space="preserve">2. Yang JK, Lin SS, Ji XJ, et al. Binding of SARS coronavirus to its receptor damages islets and causes acute diabetes. </w:t>
      </w:r>
      <w:r w:rsidRPr="00E44C5F">
        <w:rPr>
          <w:i/>
        </w:rPr>
        <w:t>Acta Diabetol</w:t>
      </w:r>
      <w:r w:rsidRPr="00E44C5F">
        <w:t xml:space="preserve"> 2010;47(3):193-9. doi: 10.1007/s00592-009-0109-4 [published Online First: 2009/04/01]</w:t>
      </w:r>
    </w:p>
    <w:p w14:paraId="5C371B7C" w14:textId="77777777" w:rsidR="00E44C5F" w:rsidRPr="00E44C5F" w:rsidRDefault="00E44C5F" w:rsidP="00E44C5F">
      <w:pPr>
        <w:pStyle w:val="EndNoteBibliography"/>
        <w:spacing w:after="0"/>
        <w:ind w:left="720" w:hanging="720"/>
      </w:pPr>
      <w:r w:rsidRPr="00E44C5F">
        <w:t xml:space="preserve">3. Edwards AE, Vathenen R, Henson SM, et al. Acute hyperglycaemic crisis after vaccination against COVID-19: A case series. </w:t>
      </w:r>
      <w:r w:rsidRPr="00E44C5F">
        <w:rPr>
          <w:i/>
        </w:rPr>
        <w:t>Diabet Med</w:t>
      </w:r>
      <w:r w:rsidRPr="00E44C5F">
        <w:t xml:space="preserve"> 2021;38(11):e14631. doi: 10.1111/dme.14631 [published Online First: 2021/06/30]</w:t>
      </w:r>
    </w:p>
    <w:p w14:paraId="663F8459" w14:textId="77777777" w:rsidR="00E44C5F" w:rsidRPr="00E44C5F" w:rsidRDefault="00E44C5F" w:rsidP="00E44C5F">
      <w:pPr>
        <w:pStyle w:val="EndNoteBibliography"/>
        <w:spacing w:after="0"/>
        <w:ind w:left="720" w:hanging="720"/>
      </w:pPr>
      <w:r w:rsidRPr="00E44C5F">
        <w:t xml:space="preserve">4. Lee HJ, Sajan A, Tomer Y. Hyperglycemic Emergencies Associated With COVID-19 Vaccination: A Case Series and Discussion. </w:t>
      </w:r>
      <w:r w:rsidRPr="00E44C5F">
        <w:rPr>
          <w:i/>
        </w:rPr>
        <w:t>J Endocr Soc</w:t>
      </w:r>
      <w:r w:rsidRPr="00E44C5F">
        <w:t xml:space="preserve"> 2021;5(11):bvab141. doi: 10.1210/jendso/bvab141 [published Online First: 2021/10/05]</w:t>
      </w:r>
    </w:p>
    <w:p w14:paraId="3F8EB08D" w14:textId="77777777" w:rsidR="00E44C5F" w:rsidRPr="00E44C5F" w:rsidRDefault="00E44C5F" w:rsidP="00E44C5F">
      <w:pPr>
        <w:pStyle w:val="EndNoteBibliography"/>
        <w:spacing w:after="0"/>
        <w:ind w:left="720" w:hanging="720"/>
      </w:pPr>
      <w:r w:rsidRPr="00E44C5F">
        <w:t xml:space="preserve">5. Tang X, He B, Liu Z, et al. Fulminant type 1 diabetes after COVID-19 vaccination. </w:t>
      </w:r>
      <w:r w:rsidRPr="00E44C5F">
        <w:rPr>
          <w:i/>
        </w:rPr>
        <w:t>Diabetes Metab</w:t>
      </w:r>
      <w:r w:rsidRPr="00E44C5F">
        <w:t xml:space="preserve"> 2022;48(2):101324. doi: 10.1016/j.diabet.2022.101324 [published Online First: 2022/01/30]</w:t>
      </w:r>
    </w:p>
    <w:p w14:paraId="5D77E9BF" w14:textId="77777777" w:rsidR="00884896" w:rsidRPr="00B65736" w:rsidRDefault="00884896" w:rsidP="00B65736">
      <w:pPr>
        <w:pStyle w:val="EndNoteBibliography"/>
        <w:ind w:left="720" w:hanging="720"/>
      </w:pPr>
    </w:p>
    <w:p w14:paraId="6B0808BD" w14:textId="364B98DC" w:rsidR="006F580A" w:rsidRPr="009408EE" w:rsidRDefault="006F580A" w:rsidP="009408EE">
      <w:pPr>
        <w:jc w:val="both"/>
        <w:rPr>
          <w:rFonts w:eastAsia="Calibri"/>
          <w:szCs w:val="24"/>
        </w:rPr>
      </w:pPr>
    </w:p>
    <w:sectPr w:rsidR="006F580A" w:rsidRPr="009408EE" w:rsidSect="009408EE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5B0D" w16cex:dateUtc="2022-09-20T07:30:00Z"/>
  <w16cex:commentExtensible w16cex:durableId="26D45B5A" w16cex:dateUtc="2022-09-20T07:31:00Z"/>
  <w16cex:commentExtensible w16cex:durableId="26D45C3D" w16cex:dateUtc="2022-09-20T07:35:00Z"/>
  <w16cex:commentExtensible w16cex:durableId="26D45BD4" w16cex:dateUtc="2022-09-20T07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CA38" w14:textId="77777777" w:rsidR="006D530A" w:rsidRDefault="006D530A" w:rsidP="00110F03">
      <w:pPr>
        <w:spacing w:after="0" w:line="240" w:lineRule="auto"/>
      </w:pPr>
      <w:r>
        <w:separator/>
      </w:r>
    </w:p>
  </w:endnote>
  <w:endnote w:type="continuationSeparator" w:id="0">
    <w:p w14:paraId="01EF496D" w14:textId="77777777" w:rsidR="006D530A" w:rsidRDefault="006D530A" w:rsidP="0011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30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FAD78" w14:textId="23BF9ECE" w:rsidR="003E3BCE" w:rsidRDefault="003E3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0FDF4" w14:textId="77777777" w:rsidR="003E3BCE" w:rsidRDefault="003E3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751F" w14:textId="1401D92A" w:rsidR="00FC16CC" w:rsidRPr="00C91B5E" w:rsidRDefault="00FC16CC" w:rsidP="00FC16CC">
    <w:pPr>
      <w:jc w:val="right"/>
      <w:rPr>
        <w:szCs w:val="24"/>
      </w:rPr>
    </w:pPr>
    <w:r>
      <w:rPr>
        <w:szCs w:val="24"/>
      </w:rPr>
      <w:t xml:space="preserve">Template last update: </w:t>
    </w:r>
    <w:r w:rsidR="00873314">
      <w:rPr>
        <w:szCs w:val="24"/>
      </w:rPr>
      <w:t>23</w:t>
    </w:r>
    <w:r w:rsidR="0083093D">
      <w:rPr>
        <w:szCs w:val="24"/>
      </w:rPr>
      <w:t xml:space="preserve"> June</w:t>
    </w:r>
    <w:r>
      <w:rPr>
        <w:szCs w:val="24"/>
      </w:rPr>
      <w:t xml:space="preserve"> 2022</w:t>
    </w:r>
  </w:p>
  <w:p w14:paraId="020012B0" w14:textId="25F4CF77" w:rsidR="00FC16CC" w:rsidRDefault="00FC16CC" w:rsidP="00FC16CC">
    <w:pPr>
      <w:jc w:val="right"/>
      <w:rPr>
        <w:szCs w:val="24"/>
      </w:rPr>
    </w:pPr>
    <w:r>
      <w:rPr>
        <w:szCs w:val="24"/>
      </w:rPr>
      <w:t>Template version 1.</w:t>
    </w:r>
    <w:r w:rsidR="00873314">
      <w:rPr>
        <w:szCs w:val="24"/>
      </w:rPr>
      <w:t>3</w:t>
    </w:r>
  </w:p>
  <w:p w14:paraId="2B2BC12C" w14:textId="77777777" w:rsidR="00FC16CC" w:rsidRDefault="00FC1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4BEF" w14:textId="77777777" w:rsidR="006D530A" w:rsidRDefault="006D530A" w:rsidP="00110F03">
      <w:pPr>
        <w:spacing w:after="0" w:line="240" w:lineRule="auto"/>
      </w:pPr>
      <w:r>
        <w:separator/>
      </w:r>
    </w:p>
  </w:footnote>
  <w:footnote w:type="continuationSeparator" w:id="0">
    <w:p w14:paraId="01A684CC" w14:textId="77777777" w:rsidR="006D530A" w:rsidRDefault="006D530A" w:rsidP="0011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A7AE" w14:textId="190D509B" w:rsidR="00512AAA" w:rsidRPr="00966109" w:rsidRDefault="00512AAA" w:rsidP="008B4FB9">
    <w:pPr>
      <w:pStyle w:val="Header"/>
      <w:jc w:val="both"/>
      <w:rPr>
        <w:i/>
        <w:iCs/>
        <w:sz w:val="20"/>
        <w:szCs w:val="16"/>
        <w:lang w:val="en-US"/>
      </w:rPr>
    </w:pPr>
    <w:r w:rsidRPr="00966109">
      <w:rPr>
        <w:i/>
        <w:iCs/>
        <w:sz w:val="20"/>
        <w:szCs w:val="16"/>
        <w:lang w:val="en-US"/>
      </w:rPr>
      <w:t>Centre for Safe Medication Practice and Research, Department of Pharmacology and Pharmacy, Li Ka Shing Faculty of Medicine, The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E9A"/>
    <w:multiLevelType w:val="hybridMultilevel"/>
    <w:tmpl w:val="699AA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0250"/>
    <w:multiLevelType w:val="multilevel"/>
    <w:tmpl w:val="DD62A148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3054322A"/>
    <w:multiLevelType w:val="hybridMultilevel"/>
    <w:tmpl w:val="6024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5FAF"/>
    <w:multiLevelType w:val="singleLevel"/>
    <w:tmpl w:val="6828589C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4" w15:restartNumberingAfterBreak="0">
    <w:nsid w:val="35D44F85"/>
    <w:multiLevelType w:val="hybridMultilevel"/>
    <w:tmpl w:val="F7947078"/>
    <w:lvl w:ilvl="0" w:tplc="76623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4A2B"/>
    <w:multiLevelType w:val="hybridMultilevel"/>
    <w:tmpl w:val="4AFCF808"/>
    <w:lvl w:ilvl="0" w:tplc="04090001">
      <w:start w:val="1"/>
      <w:numFmt w:val="bullet"/>
      <w:pStyle w:val="su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47FDF"/>
    <w:multiLevelType w:val="hybridMultilevel"/>
    <w:tmpl w:val="997C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943F3"/>
    <w:multiLevelType w:val="hybridMultilevel"/>
    <w:tmpl w:val="3FB2F84C"/>
    <w:lvl w:ilvl="0" w:tplc="A426BA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46DA"/>
    <w:multiLevelType w:val="hybridMultilevel"/>
    <w:tmpl w:val="4E5CB0C4"/>
    <w:lvl w:ilvl="0" w:tplc="56BE47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A4929"/>
    <w:multiLevelType w:val="hybridMultilevel"/>
    <w:tmpl w:val="E5D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D6274"/>
    <w:multiLevelType w:val="hybridMultilevel"/>
    <w:tmpl w:val="699AA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9e92daszppefepfz8xzramrp22r5d20w5s&quot;&gt;My EndNote Library&lt;record-ids&gt;&lt;item&gt;2728&lt;/item&gt;&lt;item&gt;2733&lt;/item&gt;&lt;/record-ids&gt;&lt;/item&gt;&lt;/Libraries&gt;"/>
  </w:docVars>
  <w:rsids>
    <w:rsidRoot w:val="009C0190"/>
    <w:rsid w:val="0000170C"/>
    <w:rsid w:val="0000178D"/>
    <w:rsid w:val="00004FB4"/>
    <w:rsid w:val="00005B20"/>
    <w:rsid w:val="00006771"/>
    <w:rsid w:val="000079D8"/>
    <w:rsid w:val="0001031D"/>
    <w:rsid w:val="00010DE0"/>
    <w:rsid w:val="0001474A"/>
    <w:rsid w:val="00014F5C"/>
    <w:rsid w:val="00015A05"/>
    <w:rsid w:val="00016A44"/>
    <w:rsid w:val="00021B32"/>
    <w:rsid w:val="00022DD6"/>
    <w:rsid w:val="000243B4"/>
    <w:rsid w:val="000243F6"/>
    <w:rsid w:val="00025F93"/>
    <w:rsid w:val="0003610B"/>
    <w:rsid w:val="00037CAC"/>
    <w:rsid w:val="00040FF7"/>
    <w:rsid w:val="00041E14"/>
    <w:rsid w:val="0004337F"/>
    <w:rsid w:val="00043F63"/>
    <w:rsid w:val="000459E1"/>
    <w:rsid w:val="00046B83"/>
    <w:rsid w:val="00046D02"/>
    <w:rsid w:val="000533DE"/>
    <w:rsid w:val="00055637"/>
    <w:rsid w:val="0006192E"/>
    <w:rsid w:val="000652E6"/>
    <w:rsid w:val="00065956"/>
    <w:rsid w:val="000666DF"/>
    <w:rsid w:val="00070A15"/>
    <w:rsid w:val="00072437"/>
    <w:rsid w:val="00073A0E"/>
    <w:rsid w:val="00077010"/>
    <w:rsid w:val="000812FB"/>
    <w:rsid w:val="00082821"/>
    <w:rsid w:val="00083142"/>
    <w:rsid w:val="00083D99"/>
    <w:rsid w:val="000857FE"/>
    <w:rsid w:val="00087ECC"/>
    <w:rsid w:val="0009483D"/>
    <w:rsid w:val="00094E17"/>
    <w:rsid w:val="000B1480"/>
    <w:rsid w:val="000B2160"/>
    <w:rsid w:val="000B557D"/>
    <w:rsid w:val="000B5BD3"/>
    <w:rsid w:val="000C3C77"/>
    <w:rsid w:val="000C4462"/>
    <w:rsid w:val="000C5BE1"/>
    <w:rsid w:val="000C72FA"/>
    <w:rsid w:val="000D004A"/>
    <w:rsid w:val="000D0641"/>
    <w:rsid w:val="000D0744"/>
    <w:rsid w:val="000D388A"/>
    <w:rsid w:val="000D3F88"/>
    <w:rsid w:val="000D5C96"/>
    <w:rsid w:val="000D68B4"/>
    <w:rsid w:val="000D73CC"/>
    <w:rsid w:val="000E0BCB"/>
    <w:rsid w:val="000E3631"/>
    <w:rsid w:val="000E5A3B"/>
    <w:rsid w:val="000E642B"/>
    <w:rsid w:val="000E782B"/>
    <w:rsid w:val="000F2BA2"/>
    <w:rsid w:val="000F50E3"/>
    <w:rsid w:val="000F5EAA"/>
    <w:rsid w:val="00102180"/>
    <w:rsid w:val="00102974"/>
    <w:rsid w:val="00104FAE"/>
    <w:rsid w:val="00105D3E"/>
    <w:rsid w:val="0011066B"/>
    <w:rsid w:val="00110746"/>
    <w:rsid w:val="00110F03"/>
    <w:rsid w:val="00115506"/>
    <w:rsid w:val="001162DB"/>
    <w:rsid w:val="00116859"/>
    <w:rsid w:val="00117A4B"/>
    <w:rsid w:val="00121944"/>
    <w:rsid w:val="00121A8F"/>
    <w:rsid w:val="00121DD9"/>
    <w:rsid w:val="00122457"/>
    <w:rsid w:val="00122AB9"/>
    <w:rsid w:val="00122BF6"/>
    <w:rsid w:val="00124E2F"/>
    <w:rsid w:val="00127610"/>
    <w:rsid w:val="00132174"/>
    <w:rsid w:val="001340C4"/>
    <w:rsid w:val="00136393"/>
    <w:rsid w:val="001364FF"/>
    <w:rsid w:val="00136AB1"/>
    <w:rsid w:val="00136ED7"/>
    <w:rsid w:val="00137503"/>
    <w:rsid w:val="00137999"/>
    <w:rsid w:val="00143696"/>
    <w:rsid w:val="001509B6"/>
    <w:rsid w:val="001542D0"/>
    <w:rsid w:val="00160143"/>
    <w:rsid w:val="00161641"/>
    <w:rsid w:val="001637A0"/>
    <w:rsid w:val="00164559"/>
    <w:rsid w:val="00164E52"/>
    <w:rsid w:val="001650F1"/>
    <w:rsid w:val="00165B35"/>
    <w:rsid w:val="001715F8"/>
    <w:rsid w:val="0018121C"/>
    <w:rsid w:val="001819E7"/>
    <w:rsid w:val="001828A5"/>
    <w:rsid w:val="00182965"/>
    <w:rsid w:val="00185A54"/>
    <w:rsid w:val="00185C7D"/>
    <w:rsid w:val="001927A2"/>
    <w:rsid w:val="00193F43"/>
    <w:rsid w:val="00194C2E"/>
    <w:rsid w:val="00194CF5"/>
    <w:rsid w:val="00195FFF"/>
    <w:rsid w:val="00196B47"/>
    <w:rsid w:val="00197D17"/>
    <w:rsid w:val="001B3092"/>
    <w:rsid w:val="001B3716"/>
    <w:rsid w:val="001B3DCF"/>
    <w:rsid w:val="001B40DF"/>
    <w:rsid w:val="001B54AC"/>
    <w:rsid w:val="001B6F81"/>
    <w:rsid w:val="001C3878"/>
    <w:rsid w:val="001C4184"/>
    <w:rsid w:val="001C5D30"/>
    <w:rsid w:val="001C7C49"/>
    <w:rsid w:val="001D03C9"/>
    <w:rsid w:val="001D5D83"/>
    <w:rsid w:val="001E065D"/>
    <w:rsid w:val="001E5F35"/>
    <w:rsid w:val="001F1587"/>
    <w:rsid w:val="001F512B"/>
    <w:rsid w:val="001F525D"/>
    <w:rsid w:val="002008F1"/>
    <w:rsid w:val="00201AD0"/>
    <w:rsid w:val="00205C5D"/>
    <w:rsid w:val="00212F16"/>
    <w:rsid w:val="00213744"/>
    <w:rsid w:val="00216784"/>
    <w:rsid w:val="002219BF"/>
    <w:rsid w:val="0022249D"/>
    <w:rsid w:val="0022330A"/>
    <w:rsid w:val="002237D8"/>
    <w:rsid w:val="00225451"/>
    <w:rsid w:val="002266B3"/>
    <w:rsid w:val="002309F4"/>
    <w:rsid w:val="00230AFE"/>
    <w:rsid w:val="00232645"/>
    <w:rsid w:val="00234934"/>
    <w:rsid w:val="0024016A"/>
    <w:rsid w:val="00242F53"/>
    <w:rsid w:val="0024418B"/>
    <w:rsid w:val="0024519F"/>
    <w:rsid w:val="00250201"/>
    <w:rsid w:val="002502E7"/>
    <w:rsid w:val="00250589"/>
    <w:rsid w:val="00251ECA"/>
    <w:rsid w:val="0025377D"/>
    <w:rsid w:val="00253966"/>
    <w:rsid w:val="002625B8"/>
    <w:rsid w:val="00264E45"/>
    <w:rsid w:val="002660A0"/>
    <w:rsid w:val="002742D6"/>
    <w:rsid w:val="00274BF9"/>
    <w:rsid w:val="002771DA"/>
    <w:rsid w:val="00277C16"/>
    <w:rsid w:val="00277F7F"/>
    <w:rsid w:val="0028297A"/>
    <w:rsid w:val="00283427"/>
    <w:rsid w:val="00283D3F"/>
    <w:rsid w:val="00286518"/>
    <w:rsid w:val="002900AE"/>
    <w:rsid w:val="002928B4"/>
    <w:rsid w:val="002931D0"/>
    <w:rsid w:val="00293413"/>
    <w:rsid w:val="00294126"/>
    <w:rsid w:val="002967DA"/>
    <w:rsid w:val="002A0837"/>
    <w:rsid w:val="002A448F"/>
    <w:rsid w:val="002A55AF"/>
    <w:rsid w:val="002A6E08"/>
    <w:rsid w:val="002B24E7"/>
    <w:rsid w:val="002B5AA1"/>
    <w:rsid w:val="002C0713"/>
    <w:rsid w:val="002C0A78"/>
    <w:rsid w:val="002C3131"/>
    <w:rsid w:val="002D425E"/>
    <w:rsid w:val="002D4A0D"/>
    <w:rsid w:val="002D538F"/>
    <w:rsid w:val="002D7246"/>
    <w:rsid w:val="002E16CC"/>
    <w:rsid w:val="002E2526"/>
    <w:rsid w:val="002E2543"/>
    <w:rsid w:val="002E40C2"/>
    <w:rsid w:val="002E5800"/>
    <w:rsid w:val="002E6487"/>
    <w:rsid w:val="002E6CFE"/>
    <w:rsid w:val="002E7121"/>
    <w:rsid w:val="002F045E"/>
    <w:rsid w:val="002F1E1E"/>
    <w:rsid w:val="002F3BAA"/>
    <w:rsid w:val="002F4197"/>
    <w:rsid w:val="002F6AE5"/>
    <w:rsid w:val="002F7370"/>
    <w:rsid w:val="002F7B14"/>
    <w:rsid w:val="002F7ECA"/>
    <w:rsid w:val="003039F3"/>
    <w:rsid w:val="00306F70"/>
    <w:rsid w:val="00312BE5"/>
    <w:rsid w:val="00313805"/>
    <w:rsid w:val="003165A7"/>
    <w:rsid w:val="00316801"/>
    <w:rsid w:val="003168F1"/>
    <w:rsid w:val="003205B5"/>
    <w:rsid w:val="00321E99"/>
    <w:rsid w:val="00325067"/>
    <w:rsid w:val="00327A06"/>
    <w:rsid w:val="00333F98"/>
    <w:rsid w:val="003343DB"/>
    <w:rsid w:val="0033552C"/>
    <w:rsid w:val="003440C4"/>
    <w:rsid w:val="0034576E"/>
    <w:rsid w:val="00345B83"/>
    <w:rsid w:val="003470D4"/>
    <w:rsid w:val="0035109B"/>
    <w:rsid w:val="003514ED"/>
    <w:rsid w:val="00353529"/>
    <w:rsid w:val="00353B47"/>
    <w:rsid w:val="0035490A"/>
    <w:rsid w:val="003568A6"/>
    <w:rsid w:val="00365548"/>
    <w:rsid w:val="00366BC8"/>
    <w:rsid w:val="0036735F"/>
    <w:rsid w:val="00371B72"/>
    <w:rsid w:val="00371E0E"/>
    <w:rsid w:val="00372A62"/>
    <w:rsid w:val="00381F10"/>
    <w:rsid w:val="0038258B"/>
    <w:rsid w:val="00383107"/>
    <w:rsid w:val="00385D9A"/>
    <w:rsid w:val="00386480"/>
    <w:rsid w:val="00391D7E"/>
    <w:rsid w:val="00393E68"/>
    <w:rsid w:val="00394973"/>
    <w:rsid w:val="00394A29"/>
    <w:rsid w:val="00396605"/>
    <w:rsid w:val="003971B5"/>
    <w:rsid w:val="003A67A7"/>
    <w:rsid w:val="003B1FDC"/>
    <w:rsid w:val="003B2225"/>
    <w:rsid w:val="003B42FE"/>
    <w:rsid w:val="003B4CEB"/>
    <w:rsid w:val="003B5B4D"/>
    <w:rsid w:val="003B6829"/>
    <w:rsid w:val="003B77FF"/>
    <w:rsid w:val="003B786A"/>
    <w:rsid w:val="003C115C"/>
    <w:rsid w:val="003C4FE6"/>
    <w:rsid w:val="003C5D4B"/>
    <w:rsid w:val="003C5DE5"/>
    <w:rsid w:val="003C7BC5"/>
    <w:rsid w:val="003D4C3C"/>
    <w:rsid w:val="003D57B5"/>
    <w:rsid w:val="003D69B9"/>
    <w:rsid w:val="003E28F0"/>
    <w:rsid w:val="003E3BCE"/>
    <w:rsid w:val="003E4CB0"/>
    <w:rsid w:val="003E5A02"/>
    <w:rsid w:val="003F2EAF"/>
    <w:rsid w:val="003F54B1"/>
    <w:rsid w:val="003F6BA2"/>
    <w:rsid w:val="003F7403"/>
    <w:rsid w:val="003F7BBD"/>
    <w:rsid w:val="00403A18"/>
    <w:rsid w:val="0040434F"/>
    <w:rsid w:val="004043A3"/>
    <w:rsid w:val="00406272"/>
    <w:rsid w:val="00406BCA"/>
    <w:rsid w:val="00411D98"/>
    <w:rsid w:val="0041251A"/>
    <w:rsid w:val="00413C17"/>
    <w:rsid w:val="00413C78"/>
    <w:rsid w:val="0041415C"/>
    <w:rsid w:val="00414912"/>
    <w:rsid w:val="0041576C"/>
    <w:rsid w:val="00417121"/>
    <w:rsid w:val="00421ABB"/>
    <w:rsid w:val="00426DA6"/>
    <w:rsid w:val="0043120C"/>
    <w:rsid w:val="00431A59"/>
    <w:rsid w:val="00431EB5"/>
    <w:rsid w:val="004326ED"/>
    <w:rsid w:val="00433D4D"/>
    <w:rsid w:val="00433E04"/>
    <w:rsid w:val="00437C26"/>
    <w:rsid w:val="00437C34"/>
    <w:rsid w:val="00441D17"/>
    <w:rsid w:val="004436BD"/>
    <w:rsid w:val="004521BF"/>
    <w:rsid w:val="00452DE2"/>
    <w:rsid w:val="00454352"/>
    <w:rsid w:val="004556D6"/>
    <w:rsid w:val="0045711D"/>
    <w:rsid w:val="00457D67"/>
    <w:rsid w:val="00462248"/>
    <w:rsid w:val="004622A3"/>
    <w:rsid w:val="00463CAB"/>
    <w:rsid w:val="00465FEE"/>
    <w:rsid w:val="00467718"/>
    <w:rsid w:val="004700CA"/>
    <w:rsid w:val="00473896"/>
    <w:rsid w:val="00476EDA"/>
    <w:rsid w:val="00481143"/>
    <w:rsid w:val="004852A1"/>
    <w:rsid w:val="00485AF9"/>
    <w:rsid w:val="00490D05"/>
    <w:rsid w:val="00490F4B"/>
    <w:rsid w:val="00491DA8"/>
    <w:rsid w:val="00496717"/>
    <w:rsid w:val="00496F4C"/>
    <w:rsid w:val="00497A33"/>
    <w:rsid w:val="004A06A8"/>
    <w:rsid w:val="004A63B6"/>
    <w:rsid w:val="004B36F0"/>
    <w:rsid w:val="004B3E1B"/>
    <w:rsid w:val="004C18E3"/>
    <w:rsid w:val="004C2052"/>
    <w:rsid w:val="004C47CA"/>
    <w:rsid w:val="004C59F5"/>
    <w:rsid w:val="004C5F13"/>
    <w:rsid w:val="004C7EDE"/>
    <w:rsid w:val="004D1A45"/>
    <w:rsid w:val="004D4287"/>
    <w:rsid w:val="004D4C6E"/>
    <w:rsid w:val="004D4D6F"/>
    <w:rsid w:val="004D604C"/>
    <w:rsid w:val="004D6484"/>
    <w:rsid w:val="004E422F"/>
    <w:rsid w:val="004F4720"/>
    <w:rsid w:val="00501284"/>
    <w:rsid w:val="00512AAA"/>
    <w:rsid w:val="00513EB6"/>
    <w:rsid w:val="005140BE"/>
    <w:rsid w:val="00514841"/>
    <w:rsid w:val="005166CB"/>
    <w:rsid w:val="0052057B"/>
    <w:rsid w:val="0052112B"/>
    <w:rsid w:val="00521A1E"/>
    <w:rsid w:val="00521A3B"/>
    <w:rsid w:val="00522FF1"/>
    <w:rsid w:val="005255E3"/>
    <w:rsid w:val="00525DEC"/>
    <w:rsid w:val="00527AFD"/>
    <w:rsid w:val="00530654"/>
    <w:rsid w:val="005352E6"/>
    <w:rsid w:val="00535AE6"/>
    <w:rsid w:val="00537D72"/>
    <w:rsid w:val="00537D81"/>
    <w:rsid w:val="005409A5"/>
    <w:rsid w:val="005410CC"/>
    <w:rsid w:val="00542528"/>
    <w:rsid w:val="0054497A"/>
    <w:rsid w:val="0054670D"/>
    <w:rsid w:val="00547278"/>
    <w:rsid w:val="00547D1D"/>
    <w:rsid w:val="00550B82"/>
    <w:rsid w:val="00552345"/>
    <w:rsid w:val="00552E7A"/>
    <w:rsid w:val="00562F65"/>
    <w:rsid w:val="00563CF1"/>
    <w:rsid w:val="0056677A"/>
    <w:rsid w:val="00566D6B"/>
    <w:rsid w:val="00572438"/>
    <w:rsid w:val="00576665"/>
    <w:rsid w:val="0057763B"/>
    <w:rsid w:val="00583746"/>
    <w:rsid w:val="005854F6"/>
    <w:rsid w:val="005856A0"/>
    <w:rsid w:val="00586DCE"/>
    <w:rsid w:val="00587CCE"/>
    <w:rsid w:val="0059090A"/>
    <w:rsid w:val="005971E8"/>
    <w:rsid w:val="005976DA"/>
    <w:rsid w:val="005A09E4"/>
    <w:rsid w:val="005A2ACB"/>
    <w:rsid w:val="005B1C09"/>
    <w:rsid w:val="005B2AD0"/>
    <w:rsid w:val="005B3307"/>
    <w:rsid w:val="005B3FF9"/>
    <w:rsid w:val="005B4EC0"/>
    <w:rsid w:val="005B6AA5"/>
    <w:rsid w:val="005C2B65"/>
    <w:rsid w:val="005D17E8"/>
    <w:rsid w:val="005D2057"/>
    <w:rsid w:val="005D231E"/>
    <w:rsid w:val="005D259D"/>
    <w:rsid w:val="005D6DE5"/>
    <w:rsid w:val="005D79AE"/>
    <w:rsid w:val="005D7E49"/>
    <w:rsid w:val="005E04D3"/>
    <w:rsid w:val="005E1047"/>
    <w:rsid w:val="005E1176"/>
    <w:rsid w:val="005E2FAF"/>
    <w:rsid w:val="005E4BA4"/>
    <w:rsid w:val="005E63D2"/>
    <w:rsid w:val="005F0CDE"/>
    <w:rsid w:val="005F1B5E"/>
    <w:rsid w:val="005F23A0"/>
    <w:rsid w:val="005F24B7"/>
    <w:rsid w:val="005F5F7E"/>
    <w:rsid w:val="005F6423"/>
    <w:rsid w:val="006021D5"/>
    <w:rsid w:val="006058F2"/>
    <w:rsid w:val="0061282C"/>
    <w:rsid w:val="006150EA"/>
    <w:rsid w:val="00615DC9"/>
    <w:rsid w:val="00617E5F"/>
    <w:rsid w:val="006218AE"/>
    <w:rsid w:val="00624927"/>
    <w:rsid w:val="00624E8D"/>
    <w:rsid w:val="00625E6D"/>
    <w:rsid w:val="00626BF2"/>
    <w:rsid w:val="00631F4F"/>
    <w:rsid w:val="0065078F"/>
    <w:rsid w:val="006534AC"/>
    <w:rsid w:val="006558DD"/>
    <w:rsid w:val="00656D4D"/>
    <w:rsid w:val="00663ABB"/>
    <w:rsid w:val="00665BE5"/>
    <w:rsid w:val="0067173F"/>
    <w:rsid w:val="00673F46"/>
    <w:rsid w:val="006760F2"/>
    <w:rsid w:val="0068439F"/>
    <w:rsid w:val="006867F5"/>
    <w:rsid w:val="00691AD5"/>
    <w:rsid w:val="0069402F"/>
    <w:rsid w:val="0069463D"/>
    <w:rsid w:val="00694C40"/>
    <w:rsid w:val="0069549B"/>
    <w:rsid w:val="00696BD5"/>
    <w:rsid w:val="006A2EAE"/>
    <w:rsid w:val="006B0189"/>
    <w:rsid w:val="006B0BF9"/>
    <w:rsid w:val="006B267B"/>
    <w:rsid w:val="006B27C7"/>
    <w:rsid w:val="006B7E3B"/>
    <w:rsid w:val="006C5198"/>
    <w:rsid w:val="006C7023"/>
    <w:rsid w:val="006C7792"/>
    <w:rsid w:val="006D067F"/>
    <w:rsid w:val="006D089D"/>
    <w:rsid w:val="006D1BEC"/>
    <w:rsid w:val="006D530A"/>
    <w:rsid w:val="006E0994"/>
    <w:rsid w:val="006E62A3"/>
    <w:rsid w:val="006F580A"/>
    <w:rsid w:val="006F71A8"/>
    <w:rsid w:val="006F7988"/>
    <w:rsid w:val="00701E83"/>
    <w:rsid w:val="007074A7"/>
    <w:rsid w:val="00707C80"/>
    <w:rsid w:val="007104A7"/>
    <w:rsid w:val="00712D1D"/>
    <w:rsid w:val="00723EB7"/>
    <w:rsid w:val="00724EA0"/>
    <w:rsid w:val="00732328"/>
    <w:rsid w:val="00732397"/>
    <w:rsid w:val="00732885"/>
    <w:rsid w:val="00734ABA"/>
    <w:rsid w:val="00736A16"/>
    <w:rsid w:val="00740561"/>
    <w:rsid w:val="00742021"/>
    <w:rsid w:val="007433DB"/>
    <w:rsid w:val="00744C1F"/>
    <w:rsid w:val="00744CEC"/>
    <w:rsid w:val="00746322"/>
    <w:rsid w:val="007469E7"/>
    <w:rsid w:val="0074790F"/>
    <w:rsid w:val="00752587"/>
    <w:rsid w:val="00753851"/>
    <w:rsid w:val="00756E35"/>
    <w:rsid w:val="00761F01"/>
    <w:rsid w:val="007627DF"/>
    <w:rsid w:val="00764450"/>
    <w:rsid w:val="0077007E"/>
    <w:rsid w:val="00770B0C"/>
    <w:rsid w:val="00771706"/>
    <w:rsid w:val="007760D7"/>
    <w:rsid w:val="00776D8D"/>
    <w:rsid w:val="007774A1"/>
    <w:rsid w:val="007805DC"/>
    <w:rsid w:val="0078604F"/>
    <w:rsid w:val="00793D4F"/>
    <w:rsid w:val="007949CF"/>
    <w:rsid w:val="007951DB"/>
    <w:rsid w:val="0079721B"/>
    <w:rsid w:val="007A0DB7"/>
    <w:rsid w:val="007A39B7"/>
    <w:rsid w:val="007A518E"/>
    <w:rsid w:val="007A66E3"/>
    <w:rsid w:val="007A781B"/>
    <w:rsid w:val="007B146C"/>
    <w:rsid w:val="007B27AB"/>
    <w:rsid w:val="007C4E50"/>
    <w:rsid w:val="007C5D67"/>
    <w:rsid w:val="007C6181"/>
    <w:rsid w:val="007D026A"/>
    <w:rsid w:val="007D058F"/>
    <w:rsid w:val="007D3396"/>
    <w:rsid w:val="007D6AFC"/>
    <w:rsid w:val="007D6E01"/>
    <w:rsid w:val="007E0213"/>
    <w:rsid w:val="007E0263"/>
    <w:rsid w:val="007E411B"/>
    <w:rsid w:val="007E41D6"/>
    <w:rsid w:val="007E5C34"/>
    <w:rsid w:val="007F35B3"/>
    <w:rsid w:val="007F4D83"/>
    <w:rsid w:val="00800CB4"/>
    <w:rsid w:val="008031FC"/>
    <w:rsid w:val="0080394D"/>
    <w:rsid w:val="00803CB4"/>
    <w:rsid w:val="00806AD2"/>
    <w:rsid w:val="00812B43"/>
    <w:rsid w:val="008130EB"/>
    <w:rsid w:val="00813605"/>
    <w:rsid w:val="00817897"/>
    <w:rsid w:val="00820075"/>
    <w:rsid w:val="00823057"/>
    <w:rsid w:val="008242FF"/>
    <w:rsid w:val="0082791F"/>
    <w:rsid w:val="00827DA9"/>
    <w:rsid w:val="00830596"/>
    <w:rsid w:val="0083093D"/>
    <w:rsid w:val="00831AE2"/>
    <w:rsid w:val="00834A09"/>
    <w:rsid w:val="008369AF"/>
    <w:rsid w:val="00840D9C"/>
    <w:rsid w:val="008502FD"/>
    <w:rsid w:val="00850589"/>
    <w:rsid w:val="0085062B"/>
    <w:rsid w:val="00851EE1"/>
    <w:rsid w:val="00852887"/>
    <w:rsid w:val="0085482B"/>
    <w:rsid w:val="00857D55"/>
    <w:rsid w:val="00861877"/>
    <w:rsid w:val="00861C40"/>
    <w:rsid w:val="00864AF5"/>
    <w:rsid w:val="0086563A"/>
    <w:rsid w:val="00866026"/>
    <w:rsid w:val="008705A0"/>
    <w:rsid w:val="008732F4"/>
    <w:rsid w:val="00873314"/>
    <w:rsid w:val="00873615"/>
    <w:rsid w:val="0088062F"/>
    <w:rsid w:val="00883851"/>
    <w:rsid w:val="008845E1"/>
    <w:rsid w:val="00884896"/>
    <w:rsid w:val="00886469"/>
    <w:rsid w:val="00886735"/>
    <w:rsid w:val="00891498"/>
    <w:rsid w:val="008931B1"/>
    <w:rsid w:val="00895BAF"/>
    <w:rsid w:val="00897029"/>
    <w:rsid w:val="008A045D"/>
    <w:rsid w:val="008A1E14"/>
    <w:rsid w:val="008A46B9"/>
    <w:rsid w:val="008A54CB"/>
    <w:rsid w:val="008A6335"/>
    <w:rsid w:val="008A7979"/>
    <w:rsid w:val="008B3630"/>
    <w:rsid w:val="008B4FB9"/>
    <w:rsid w:val="008C700A"/>
    <w:rsid w:val="008C7632"/>
    <w:rsid w:val="008C7B30"/>
    <w:rsid w:val="008C7F1D"/>
    <w:rsid w:val="008D1A94"/>
    <w:rsid w:val="008D2DB7"/>
    <w:rsid w:val="008D5D06"/>
    <w:rsid w:val="008E0429"/>
    <w:rsid w:val="008E0A35"/>
    <w:rsid w:val="008E303B"/>
    <w:rsid w:val="008E5AE3"/>
    <w:rsid w:val="008E7487"/>
    <w:rsid w:val="008F58DC"/>
    <w:rsid w:val="008F672E"/>
    <w:rsid w:val="008F69C9"/>
    <w:rsid w:val="009011E6"/>
    <w:rsid w:val="00901301"/>
    <w:rsid w:val="00901EBE"/>
    <w:rsid w:val="0090348F"/>
    <w:rsid w:val="00905E08"/>
    <w:rsid w:val="009062C0"/>
    <w:rsid w:val="009073F1"/>
    <w:rsid w:val="00911E26"/>
    <w:rsid w:val="009162EE"/>
    <w:rsid w:val="00921735"/>
    <w:rsid w:val="00922223"/>
    <w:rsid w:val="00925FDB"/>
    <w:rsid w:val="00926736"/>
    <w:rsid w:val="00930002"/>
    <w:rsid w:val="009326BE"/>
    <w:rsid w:val="0093407D"/>
    <w:rsid w:val="009408EE"/>
    <w:rsid w:val="0094194A"/>
    <w:rsid w:val="00943C1E"/>
    <w:rsid w:val="00943E14"/>
    <w:rsid w:val="00945DC1"/>
    <w:rsid w:val="0094773A"/>
    <w:rsid w:val="0095339E"/>
    <w:rsid w:val="00953AB3"/>
    <w:rsid w:val="0095444D"/>
    <w:rsid w:val="00954BBB"/>
    <w:rsid w:val="00955889"/>
    <w:rsid w:val="00956C16"/>
    <w:rsid w:val="00963629"/>
    <w:rsid w:val="00966109"/>
    <w:rsid w:val="00966465"/>
    <w:rsid w:val="009666E7"/>
    <w:rsid w:val="009703CD"/>
    <w:rsid w:val="00970DA9"/>
    <w:rsid w:val="009715B4"/>
    <w:rsid w:val="00972E40"/>
    <w:rsid w:val="00974BF1"/>
    <w:rsid w:val="00976CD4"/>
    <w:rsid w:val="00987E90"/>
    <w:rsid w:val="00990B2C"/>
    <w:rsid w:val="00991C55"/>
    <w:rsid w:val="009974B6"/>
    <w:rsid w:val="009A0B74"/>
    <w:rsid w:val="009A63D7"/>
    <w:rsid w:val="009B22CF"/>
    <w:rsid w:val="009B23F5"/>
    <w:rsid w:val="009B2880"/>
    <w:rsid w:val="009B2E12"/>
    <w:rsid w:val="009B6B99"/>
    <w:rsid w:val="009B6D86"/>
    <w:rsid w:val="009C0190"/>
    <w:rsid w:val="009C0B94"/>
    <w:rsid w:val="009C1D1F"/>
    <w:rsid w:val="009C30AF"/>
    <w:rsid w:val="009C429B"/>
    <w:rsid w:val="009C461C"/>
    <w:rsid w:val="009C4FC8"/>
    <w:rsid w:val="009D1E90"/>
    <w:rsid w:val="009D4D0A"/>
    <w:rsid w:val="009D62EC"/>
    <w:rsid w:val="009E3A1E"/>
    <w:rsid w:val="009E4AFA"/>
    <w:rsid w:val="009E5DBC"/>
    <w:rsid w:val="009E5DDD"/>
    <w:rsid w:val="009E6518"/>
    <w:rsid w:val="009F2C2A"/>
    <w:rsid w:val="009F37D2"/>
    <w:rsid w:val="009F66E6"/>
    <w:rsid w:val="009F72F5"/>
    <w:rsid w:val="00A01291"/>
    <w:rsid w:val="00A02730"/>
    <w:rsid w:val="00A04E93"/>
    <w:rsid w:val="00A107E0"/>
    <w:rsid w:val="00A11699"/>
    <w:rsid w:val="00A119E1"/>
    <w:rsid w:val="00A13D82"/>
    <w:rsid w:val="00A16C76"/>
    <w:rsid w:val="00A20B42"/>
    <w:rsid w:val="00A2680E"/>
    <w:rsid w:val="00A31853"/>
    <w:rsid w:val="00A33900"/>
    <w:rsid w:val="00A33BF5"/>
    <w:rsid w:val="00A34984"/>
    <w:rsid w:val="00A40818"/>
    <w:rsid w:val="00A41ED2"/>
    <w:rsid w:val="00A423EC"/>
    <w:rsid w:val="00A4627F"/>
    <w:rsid w:val="00A46537"/>
    <w:rsid w:val="00A47027"/>
    <w:rsid w:val="00A5113D"/>
    <w:rsid w:val="00A5143C"/>
    <w:rsid w:val="00A51E59"/>
    <w:rsid w:val="00A60D2C"/>
    <w:rsid w:val="00A610E4"/>
    <w:rsid w:val="00A66C3D"/>
    <w:rsid w:val="00A70D7C"/>
    <w:rsid w:val="00A70DF4"/>
    <w:rsid w:val="00A71377"/>
    <w:rsid w:val="00A727D9"/>
    <w:rsid w:val="00A7389D"/>
    <w:rsid w:val="00A76ECC"/>
    <w:rsid w:val="00A82D61"/>
    <w:rsid w:val="00A847EE"/>
    <w:rsid w:val="00A86252"/>
    <w:rsid w:val="00A87378"/>
    <w:rsid w:val="00A922ED"/>
    <w:rsid w:val="00A92944"/>
    <w:rsid w:val="00A95370"/>
    <w:rsid w:val="00A966D6"/>
    <w:rsid w:val="00A975BA"/>
    <w:rsid w:val="00AA220D"/>
    <w:rsid w:val="00AB0FF3"/>
    <w:rsid w:val="00AB4640"/>
    <w:rsid w:val="00AB6C27"/>
    <w:rsid w:val="00AC2470"/>
    <w:rsid w:val="00AC73DE"/>
    <w:rsid w:val="00AD12CB"/>
    <w:rsid w:val="00AD28F4"/>
    <w:rsid w:val="00AD70CD"/>
    <w:rsid w:val="00AD729C"/>
    <w:rsid w:val="00AD7ACC"/>
    <w:rsid w:val="00AE1F9A"/>
    <w:rsid w:val="00AE225A"/>
    <w:rsid w:val="00AE2C22"/>
    <w:rsid w:val="00AE333B"/>
    <w:rsid w:val="00AE54C2"/>
    <w:rsid w:val="00AE580C"/>
    <w:rsid w:val="00AE5F26"/>
    <w:rsid w:val="00AE7225"/>
    <w:rsid w:val="00AF19FE"/>
    <w:rsid w:val="00AF3C5F"/>
    <w:rsid w:val="00AF5261"/>
    <w:rsid w:val="00AF68C0"/>
    <w:rsid w:val="00AF7B17"/>
    <w:rsid w:val="00B04F4C"/>
    <w:rsid w:val="00B05C78"/>
    <w:rsid w:val="00B069F1"/>
    <w:rsid w:val="00B1297B"/>
    <w:rsid w:val="00B20393"/>
    <w:rsid w:val="00B21F9A"/>
    <w:rsid w:val="00B22A2F"/>
    <w:rsid w:val="00B23585"/>
    <w:rsid w:val="00B258FE"/>
    <w:rsid w:val="00B27670"/>
    <w:rsid w:val="00B33529"/>
    <w:rsid w:val="00B339EE"/>
    <w:rsid w:val="00B33D33"/>
    <w:rsid w:val="00B420BA"/>
    <w:rsid w:val="00B441A2"/>
    <w:rsid w:val="00B4427A"/>
    <w:rsid w:val="00B44E46"/>
    <w:rsid w:val="00B46275"/>
    <w:rsid w:val="00B46E7B"/>
    <w:rsid w:val="00B47884"/>
    <w:rsid w:val="00B478D3"/>
    <w:rsid w:val="00B47B98"/>
    <w:rsid w:val="00B52448"/>
    <w:rsid w:val="00B524E4"/>
    <w:rsid w:val="00B52511"/>
    <w:rsid w:val="00B54551"/>
    <w:rsid w:val="00B54D6D"/>
    <w:rsid w:val="00B56D20"/>
    <w:rsid w:val="00B6061C"/>
    <w:rsid w:val="00B63F6A"/>
    <w:rsid w:val="00B65736"/>
    <w:rsid w:val="00B66F11"/>
    <w:rsid w:val="00B67EF8"/>
    <w:rsid w:val="00B750AA"/>
    <w:rsid w:val="00B754AB"/>
    <w:rsid w:val="00B76813"/>
    <w:rsid w:val="00B76CA9"/>
    <w:rsid w:val="00B81B0D"/>
    <w:rsid w:val="00B832EA"/>
    <w:rsid w:val="00B92BC9"/>
    <w:rsid w:val="00B9553B"/>
    <w:rsid w:val="00B9640E"/>
    <w:rsid w:val="00B97ADC"/>
    <w:rsid w:val="00BA190D"/>
    <w:rsid w:val="00BA35E0"/>
    <w:rsid w:val="00BA7EB0"/>
    <w:rsid w:val="00BB12D5"/>
    <w:rsid w:val="00BB249D"/>
    <w:rsid w:val="00BB2DD4"/>
    <w:rsid w:val="00BB3F93"/>
    <w:rsid w:val="00BB42DC"/>
    <w:rsid w:val="00BB6620"/>
    <w:rsid w:val="00BC129E"/>
    <w:rsid w:val="00BC281B"/>
    <w:rsid w:val="00BC5058"/>
    <w:rsid w:val="00BD05FA"/>
    <w:rsid w:val="00BD1878"/>
    <w:rsid w:val="00BD3EFE"/>
    <w:rsid w:val="00BD4B78"/>
    <w:rsid w:val="00BD6D38"/>
    <w:rsid w:val="00BD75C6"/>
    <w:rsid w:val="00BE0550"/>
    <w:rsid w:val="00BE32EF"/>
    <w:rsid w:val="00BE3B84"/>
    <w:rsid w:val="00BE4BE5"/>
    <w:rsid w:val="00BF2269"/>
    <w:rsid w:val="00BF23B7"/>
    <w:rsid w:val="00BF2426"/>
    <w:rsid w:val="00BF2848"/>
    <w:rsid w:val="00BF42FE"/>
    <w:rsid w:val="00BF5288"/>
    <w:rsid w:val="00BF5A6A"/>
    <w:rsid w:val="00C01AF9"/>
    <w:rsid w:val="00C057FD"/>
    <w:rsid w:val="00C06537"/>
    <w:rsid w:val="00C1107C"/>
    <w:rsid w:val="00C149C0"/>
    <w:rsid w:val="00C15870"/>
    <w:rsid w:val="00C16521"/>
    <w:rsid w:val="00C250BC"/>
    <w:rsid w:val="00C316ED"/>
    <w:rsid w:val="00C32613"/>
    <w:rsid w:val="00C351F5"/>
    <w:rsid w:val="00C36108"/>
    <w:rsid w:val="00C45B13"/>
    <w:rsid w:val="00C53FAC"/>
    <w:rsid w:val="00C559CF"/>
    <w:rsid w:val="00C56251"/>
    <w:rsid w:val="00C56B8E"/>
    <w:rsid w:val="00C57FF9"/>
    <w:rsid w:val="00C62CBB"/>
    <w:rsid w:val="00C63372"/>
    <w:rsid w:val="00C64A78"/>
    <w:rsid w:val="00C66B0E"/>
    <w:rsid w:val="00C70CD5"/>
    <w:rsid w:val="00C726F4"/>
    <w:rsid w:val="00C728DB"/>
    <w:rsid w:val="00C73979"/>
    <w:rsid w:val="00C80001"/>
    <w:rsid w:val="00C8268B"/>
    <w:rsid w:val="00C829AA"/>
    <w:rsid w:val="00C82D45"/>
    <w:rsid w:val="00C8537B"/>
    <w:rsid w:val="00C8608D"/>
    <w:rsid w:val="00C904C6"/>
    <w:rsid w:val="00C91B5E"/>
    <w:rsid w:val="00C9238B"/>
    <w:rsid w:val="00C93667"/>
    <w:rsid w:val="00C93D71"/>
    <w:rsid w:val="00C943B2"/>
    <w:rsid w:val="00C94BE7"/>
    <w:rsid w:val="00C94E1D"/>
    <w:rsid w:val="00C96962"/>
    <w:rsid w:val="00CA429E"/>
    <w:rsid w:val="00CB4175"/>
    <w:rsid w:val="00CB7738"/>
    <w:rsid w:val="00CC010F"/>
    <w:rsid w:val="00CC472C"/>
    <w:rsid w:val="00CC54E4"/>
    <w:rsid w:val="00CC68C9"/>
    <w:rsid w:val="00CD41B0"/>
    <w:rsid w:val="00CD6D1A"/>
    <w:rsid w:val="00CD70D6"/>
    <w:rsid w:val="00CE59F8"/>
    <w:rsid w:val="00CE5D5A"/>
    <w:rsid w:val="00CE64DF"/>
    <w:rsid w:val="00CF2F75"/>
    <w:rsid w:val="00CF303A"/>
    <w:rsid w:val="00CF4945"/>
    <w:rsid w:val="00CF4A85"/>
    <w:rsid w:val="00D01D22"/>
    <w:rsid w:val="00D01F26"/>
    <w:rsid w:val="00D07664"/>
    <w:rsid w:val="00D10B90"/>
    <w:rsid w:val="00D1419D"/>
    <w:rsid w:val="00D15387"/>
    <w:rsid w:val="00D20EBD"/>
    <w:rsid w:val="00D21AB3"/>
    <w:rsid w:val="00D22560"/>
    <w:rsid w:val="00D225C0"/>
    <w:rsid w:val="00D24ABE"/>
    <w:rsid w:val="00D27358"/>
    <w:rsid w:val="00D27F03"/>
    <w:rsid w:val="00D35AED"/>
    <w:rsid w:val="00D36CEA"/>
    <w:rsid w:val="00D41FFC"/>
    <w:rsid w:val="00D42662"/>
    <w:rsid w:val="00D43FCC"/>
    <w:rsid w:val="00D46583"/>
    <w:rsid w:val="00D52F43"/>
    <w:rsid w:val="00D55C28"/>
    <w:rsid w:val="00D62CF4"/>
    <w:rsid w:val="00D67127"/>
    <w:rsid w:val="00D70D82"/>
    <w:rsid w:val="00D71DDE"/>
    <w:rsid w:val="00D73A7E"/>
    <w:rsid w:val="00D76118"/>
    <w:rsid w:val="00D77297"/>
    <w:rsid w:val="00D77BF5"/>
    <w:rsid w:val="00D81559"/>
    <w:rsid w:val="00D827C0"/>
    <w:rsid w:val="00D8364A"/>
    <w:rsid w:val="00D8425C"/>
    <w:rsid w:val="00D909DC"/>
    <w:rsid w:val="00D93727"/>
    <w:rsid w:val="00DA041C"/>
    <w:rsid w:val="00DA0EE5"/>
    <w:rsid w:val="00DA2B45"/>
    <w:rsid w:val="00DA2BEC"/>
    <w:rsid w:val="00DA55D9"/>
    <w:rsid w:val="00DA5B11"/>
    <w:rsid w:val="00DB067A"/>
    <w:rsid w:val="00DB0BDF"/>
    <w:rsid w:val="00DC1507"/>
    <w:rsid w:val="00DC27A2"/>
    <w:rsid w:val="00DC512A"/>
    <w:rsid w:val="00DC6B7D"/>
    <w:rsid w:val="00DD08D5"/>
    <w:rsid w:val="00DD12D7"/>
    <w:rsid w:val="00DD57B3"/>
    <w:rsid w:val="00DE1AFC"/>
    <w:rsid w:val="00DE1BD8"/>
    <w:rsid w:val="00DE22A8"/>
    <w:rsid w:val="00DE5BFB"/>
    <w:rsid w:val="00DE7299"/>
    <w:rsid w:val="00DF05EE"/>
    <w:rsid w:val="00DF4051"/>
    <w:rsid w:val="00DF5B7B"/>
    <w:rsid w:val="00E00917"/>
    <w:rsid w:val="00E039A9"/>
    <w:rsid w:val="00E05A58"/>
    <w:rsid w:val="00E11D57"/>
    <w:rsid w:val="00E160FE"/>
    <w:rsid w:val="00E208B0"/>
    <w:rsid w:val="00E20AFF"/>
    <w:rsid w:val="00E21324"/>
    <w:rsid w:val="00E2298C"/>
    <w:rsid w:val="00E2461E"/>
    <w:rsid w:val="00E25710"/>
    <w:rsid w:val="00E3258F"/>
    <w:rsid w:val="00E331DC"/>
    <w:rsid w:val="00E3534B"/>
    <w:rsid w:val="00E37414"/>
    <w:rsid w:val="00E37F7B"/>
    <w:rsid w:val="00E4006D"/>
    <w:rsid w:val="00E44C5F"/>
    <w:rsid w:val="00E45A43"/>
    <w:rsid w:val="00E50AC6"/>
    <w:rsid w:val="00E53302"/>
    <w:rsid w:val="00E53352"/>
    <w:rsid w:val="00E57102"/>
    <w:rsid w:val="00E64804"/>
    <w:rsid w:val="00E665A7"/>
    <w:rsid w:val="00E713CF"/>
    <w:rsid w:val="00E71CA2"/>
    <w:rsid w:val="00E73C20"/>
    <w:rsid w:val="00E816BC"/>
    <w:rsid w:val="00E84992"/>
    <w:rsid w:val="00E862C9"/>
    <w:rsid w:val="00E95B4A"/>
    <w:rsid w:val="00E96FED"/>
    <w:rsid w:val="00EA180E"/>
    <w:rsid w:val="00EA279E"/>
    <w:rsid w:val="00EA4C20"/>
    <w:rsid w:val="00EA5454"/>
    <w:rsid w:val="00EA794D"/>
    <w:rsid w:val="00EB0D4F"/>
    <w:rsid w:val="00EB2153"/>
    <w:rsid w:val="00EB6667"/>
    <w:rsid w:val="00EB7EBB"/>
    <w:rsid w:val="00EC099C"/>
    <w:rsid w:val="00EC0E7F"/>
    <w:rsid w:val="00EC1D40"/>
    <w:rsid w:val="00EC6C8D"/>
    <w:rsid w:val="00EC7182"/>
    <w:rsid w:val="00ED167A"/>
    <w:rsid w:val="00ED33F2"/>
    <w:rsid w:val="00ED3571"/>
    <w:rsid w:val="00ED3FA6"/>
    <w:rsid w:val="00ED466F"/>
    <w:rsid w:val="00ED4A72"/>
    <w:rsid w:val="00ED4DA2"/>
    <w:rsid w:val="00ED5D36"/>
    <w:rsid w:val="00ED641D"/>
    <w:rsid w:val="00ED6F52"/>
    <w:rsid w:val="00EE3294"/>
    <w:rsid w:val="00EE44F6"/>
    <w:rsid w:val="00EE5478"/>
    <w:rsid w:val="00EF0CD7"/>
    <w:rsid w:val="00EF0D8D"/>
    <w:rsid w:val="00EF6151"/>
    <w:rsid w:val="00F0167F"/>
    <w:rsid w:val="00F0233D"/>
    <w:rsid w:val="00F04EF2"/>
    <w:rsid w:val="00F109C9"/>
    <w:rsid w:val="00F11E81"/>
    <w:rsid w:val="00F134EA"/>
    <w:rsid w:val="00F139B7"/>
    <w:rsid w:val="00F1699A"/>
    <w:rsid w:val="00F26751"/>
    <w:rsid w:val="00F27793"/>
    <w:rsid w:val="00F303D5"/>
    <w:rsid w:val="00F3153C"/>
    <w:rsid w:val="00F31FFB"/>
    <w:rsid w:val="00F3239D"/>
    <w:rsid w:val="00F32C43"/>
    <w:rsid w:val="00F331A0"/>
    <w:rsid w:val="00F35398"/>
    <w:rsid w:val="00F35626"/>
    <w:rsid w:val="00F357A3"/>
    <w:rsid w:val="00F36B26"/>
    <w:rsid w:val="00F37964"/>
    <w:rsid w:val="00F407DC"/>
    <w:rsid w:val="00F413CC"/>
    <w:rsid w:val="00F46692"/>
    <w:rsid w:val="00F504AD"/>
    <w:rsid w:val="00F52B69"/>
    <w:rsid w:val="00F53194"/>
    <w:rsid w:val="00F54226"/>
    <w:rsid w:val="00F70DC3"/>
    <w:rsid w:val="00F74ACC"/>
    <w:rsid w:val="00F80AD8"/>
    <w:rsid w:val="00F83BF3"/>
    <w:rsid w:val="00F83C39"/>
    <w:rsid w:val="00F84A55"/>
    <w:rsid w:val="00F8546E"/>
    <w:rsid w:val="00F85ACA"/>
    <w:rsid w:val="00F874B4"/>
    <w:rsid w:val="00F876EF"/>
    <w:rsid w:val="00F94404"/>
    <w:rsid w:val="00F9523C"/>
    <w:rsid w:val="00FA12C0"/>
    <w:rsid w:val="00FA5622"/>
    <w:rsid w:val="00FB5449"/>
    <w:rsid w:val="00FC0071"/>
    <w:rsid w:val="00FC03AF"/>
    <w:rsid w:val="00FC0626"/>
    <w:rsid w:val="00FC16CC"/>
    <w:rsid w:val="00FC406F"/>
    <w:rsid w:val="00FC4436"/>
    <w:rsid w:val="00FC4987"/>
    <w:rsid w:val="00FC5B8A"/>
    <w:rsid w:val="00FD2352"/>
    <w:rsid w:val="00FD45F9"/>
    <w:rsid w:val="00FE03E7"/>
    <w:rsid w:val="00FE0EB5"/>
    <w:rsid w:val="00FE26C3"/>
    <w:rsid w:val="00FE3FC1"/>
    <w:rsid w:val="00FE5C15"/>
    <w:rsid w:val="00FE6B06"/>
    <w:rsid w:val="00FF09C5"/>
    <w:rsid w:val="00FF2B16"/>
    <w:rsid w:val="00FF53B4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DF3EB"/>
  <w15:docId w15:val="{8BE1FFC3-4397-4A03-8E2C-1A6C1882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190"/>
    <w:p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09E4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rsid w:val="009C019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D68B4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9C0190"/>
    <w:pPr>
      <w:spacing w:after="0"/>
    </w:pPr>
    <w:rPr>
      <w:rFonts w:asciiTheme="minorHAnsi" w:hAnsiTheme="minorHAnsi"/>
      <w:b/>
      <w:bCs/>
      <w:smallCaps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F4D83"/>
    <w:pPr>
      <w:spacing w:after="0"/>
    </w:pPr>
    <w:rPr>
      <w:rFonts w:asciiTheme="minorHAnsi" w:hAnsiTheme="minorHAnsi"/>
      <w:sz w:val="22"/>
      <w:szCs w:val="22"/>
    </w:rPr>
  </w:style>
  <w:style w:type="paragraph" w:customStyle="1" w:styleId="A-Guided">
    <w:name w:val="A-Guided"/>
    <w:rsid w:val="00110F03"/>
    <w:pPr>
      <w:spacing w:before="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-GuidedBold">
    <w:name w:val="A-Guided Bold"/>
    <w:rsid w:val="00110F03"/>
    <w:pPr>
      <w:spacing w:before="60" w:after="12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Z-RedHidden">
    <w:name w:val="Z-Red Hidden"/>
    <w:basedOn w:val="DefaultParagraphFont"/>
    <w:rsid w:val="00110F03"/>
    <w:rPr>
      <w:rFonts w:ascii="Arial" w:hAnsi="Arial"/>
      <w:vanish/>
      <w:color w:val="FF0000"/>
      <w:sz w:val="16"/>
    </w:rPr>
  </w:style>
  <w:style w:type="paragraph" w:customStyle="1" w:styleId="A-StudyTitle">
    <w:name w:val="A-Study Title"/>
    <w:rsid w:val="00110F03"/>
    <w:pPr>
      <w:spacing w:after="12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-TableText">
    <w:name w:val="A-Table Text"/>
    <w:rsid w:val="00110F03"/>
    <w:pPr>
      <w:spacing w:before="60" w:after="6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-TableHeader">
    <w:name w:val="A-Table Header"/>
    <w:next w:val="Normal"/>
    <w:rsid w:val="00110F03"/>
    <w:pPr>
      <w:keepNext/>
      <w:spacing w:before="60" w:after="6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-Unnumbered">
    <w:name w:val="A-Unnumbered"/>
    <w:next w:val="Normal"/>
    <w:rsid w:val="00110F03"/>
    <w:pPr>
      <w:keepNext/>
      <w:spacing w:before="480" w:after="24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customStyle="1" w:styleId="A-Unassigned">
    <w:name w:val="A-Unassigned"/>
    <w:next w:val="Normal"/>
    <w:rsid w:val="00110F03"/>
    <w:pPr>
      <w:keepNext/>
      <w:spacing w:before="120" w:after="12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ListBullet">
    <w:name w:val="A-List Bullet"/>
    <w:rsid w:val="00110F03"/>
    <w:pPr>
      <w:numPr>
        <w:numId w:val="1"/>
      </w:num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Heading1">
    <w:name w:val="A-Heading 1"/>
    <w:next w:val="Normal"/>
    <w:rsid w:val="00110F03"/>
    <w:pPr>
      <w:keepNext/>
      <w:spacing w:before="480" w:after="240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customStyle="1" w:styleId="z-StudyCode">
    <w:name w:val="z-StudyCode"/>
    <w:basedOn w:val="Normal"/>
    <w:rsid w:val="00110F03"/>
  </w:style>
  <w:style w:type="paragraph" w:customStyle="1" w:styleId="Z-EditionNo">
    <w:name w:val="Z-EditionNo"/>
    <w:basedOn w:val="Normal"/>
    <w:rsid w:val="00110F03"/>
    <w:pPr>
      <w:spacing w:after="0" w:line="240" w:lineRule="auto"/>
    </w:pPr>
    <w:rPr>
      <w:szCs w:val="24"/>
    </w:rPr>
  </w:style>
  <w:style w:type="paragraph" w:customStyle="1" w:styleId="Z-Date">
    <w:name w:val="Z-Date"/>
    <w:basedOn w:val="Normal"/>
    <w:rsid w:val="00110F03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1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0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43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4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4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D388A"/>
    <w:rPr>
      <w:i/>
      <w:iCs/>
    </w:rPr>
  </w:style>
  <w:style w:type="character" w:styleId="Strong">
    <w:name w:val="Strong"/>
    <w:basedOn w:val="DefaultParagraphFont"/>
    <w:uiPriority w:val="22"/>
    <w:qFormat/>
    <w:rsid w:val="000D388A"/>
    <w:rPr>
      <w:b/>
      <w:bCs/>
    </w:rPr>
  </w:style>
  <w:style w:type="paragraph" w:styleId="NormalWeb">
    <w:name w:val="Normal (Web)"/>
    <w:basedOn w:val="Normal"/>
    <w:uiPriority w:val="99"/>
    <w:unhideWhenUsed/>
    <w:rsid w:val="000D388A"/>
    <w:pPr>
      <w:spacing w:after="102" w:line="240" w:lineRule="auto"/>
    </w:pPr>
    <w:rPr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31B1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E3631"/>
    <w:rPr>
      <w:i/>
      <w:iCs/>
    </w:rPr>
  </w:style>
  <w:style w:type="paragraph" w:customStyle="1" w:styleId="Default">
    <w:name w:val="Default"/>
    <w:rsid w:val="00491D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491DA8"/>
    <w:rPr>
      <w:color w:val="auto"/>
    </w:rPr>
  </w:style>
  <w:style w:type="paragraph" w:customStyle="1" w:styleId="bullet">
    <w:name w:val="bullet"/>
    <w:basedOn w:val="Normal"/>
    <w:next w:val="Normal"/>
    <w:rsid w:val="00547D1D"/>
    <w:pPr>
      <w:numPr>
        <w:numId w:val="2"/>
      </w:numPr>
      <w:tabs>
        <w:tab w:val="left" w:pos="0"/>
        <w:tab w:val="left" w:pos="1080"/>
      </w:tabs>
      <w:spacing w:after="158" w:line="240" w:lineRule="auto"/>
      <w:jc w:val="both"/>
    </w:pPr>
    <w:rPr>
      <w:rFonts w:ascii="Arial" w:hAnsi="Arial"/>
      <w:lang w:val="en-US"/>
    </w:rPr>
  </w:style>
  <w:style w:type="paragraph" w:customStyle="1" w:styleId="subbullet">
    <w:name w:val="subbullet"/>
    <w:basedOn w:val="Normal"/>
    <w:next w:val="Normal"/>
    <w:rsid w:val="00547D1D"/>
    <w:pPr>
      <w:numPr>
        <w:numId w:val="3"/>
      </w:numPr>
      <w:tabs>
        <w:tab w:val="left" w:pos="0"/>
        <w:tab w:val="left" w:pos="1440"/>
      </w:tabs>
      <w:spacing w:after="158" w:line="240" w:lineRule="auto"/>
      <w:jc w:val="both"/>
    </w:pPr>
    <w:rPr>
      <w:rFonts w:ascii="Arial" w:hAnsi="Arial"/>
      <w:lang w:val="en-US"/>
    </w:rPr>
  </w:style>
  <w:style w:type="paragraph" w:customStyle="1" w:styleId="heading2text">
    <w:name w:val="heading 2 text"/>
    <w:rsid w:val="00547D1D"/>
    <w:pPr>
      <w:spacing w:after="240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7D1D"/>
    <w:pPr>
      <w:ind w:left="720"/>
      <w:contextualSpacing/>
    </w:pPr>
  </w:style>
  <w:style w:type="table" w:styleId="TableGrid">
    <w:name w:val="Table Grid"/>
    <w:basedOn w:val="TableNormal"/>
    <w:uiPriority w:val="39"/>
    <w:rsid w:val="00F0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E40C2"/>
    <w:pPr>
      <w:spacing w:after="0"/>
    </w:pPr>
    <w:rPr>
      <w:rFonts w:asciiTheme="minorHAnsi" w:hAnsiTheme="minorHAnsi"/>
      <w:smallCaps/>
      <w:sz w:val="22"/>
      <w:szCs w:val="22"/>
    </w:rPr>
  </w:style>
  <w:style w:type="paragraph" w:customStyle="1" w:styleId="Body">
    <w:name w:val="Body"/>
    <w:basedOn w:val="Normal"/>
    <w:rsid w:val="00433E04"/>
    <w:pPr>
      <w:tabs>
        <w:tab w:val="left" w:pos="1080"/>
      </w:tabs>
      <w:spacing w:before="120" w:after="0" w:line="240" w:lineRule="auto"/>
      <w:jc w:val="both"/>
    </w:pPr>
    <w:rPr>
      <w:szCs w:val="24"/>
      <w:lang w:val="en-US"/>
    </w:rPr>
  </w:style>
  <w:style w:type="paragraph" w:customStyle="1" w:styleId="Brdtext">
    <w:name w:val="Brödtext+"/>
    <w:basedOn w:val="BodyText"/>
    <w:qFormat/>
    <w:rsid w:val="009703CD"/>
    <w:pPr>
      <w:spacing w:line="240" w:lineRule="auto"/>
    </w:pPr>
    <w:rPr>
      <w:szCs w:val="24"/>
      <w:lang w:val="en-US"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3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3C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164559"/>
    <w:pPr>
      <w:spacing w:after="200" w:line="240" w:lineRule="auto"/>
    </w:pPr>
    <w:rPr>
      <w:rFonts w:eastAsia="PMingLiU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64559"/>
    <w:rPr>
      <w:rFonts w:ascii="Times New Roman" w:eastAsia="PMingLiU" w:hAnsi="Times New Roman" w:cs="Times New Roman"/>
      <w:noProof/>
      <w:sz w:val="24"/>
      <w:lang w:val="en-US"/>
    </w:rPr>
  </w:style>
  <w:style w:type="paragraph" w:styleId="Revision">
    <w:name w:val="Revision"/>
    <w:hidden/>
    <w:uiPriority w:val="99"/>
    <w:semiHidden/>
    <w:rsid w:val="00E3258F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PlainTable2">
    <w:name w:val="Plain Table 2"/>
    <w:basedOn w:val="TableNormal"/>
    <w:uiPriority w:val="42"/>
    <w:rsid w:val="001B3DC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50589"/>
  </w:style>
  <w:style w:type="table" w:styleId="PlainTable3">
    <w:name w:val="Plain Table 3"/>
    <w:basedOn w:val="TableNormal"/>
    <w:uiPriority w:val="43"/>
    <w:rsid w:val="00F80A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B1C0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B1C09"/>
    <w:pPr>
      <w:spacing w:after="0"/>
    </w:pPr>
    <w:rPr>
      <w:rFonts w:asciiTheme="minorHAnsi" w:hAnsiTheme="minorHAns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9F72F5"/>
    <w:pPr>
      <w:spacing w:after="0"/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72F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619A-6C5A-4E56-97B4-A3D99A4C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kjsz354</dc:creator>
  <cp:keywords/>
  <dc:description/>
  <cp:lastModifiedBy>Nicole Fung</cp:lastModifiedBy>
  <cp:revision>2</cp:revision>
  <cp:lastPrinted>2020-03-11T07:52:00Z</cp:lastPrinted>
  <dcterms:created xsi:type="dcterms:W3CDTF">2023-04-27T02:39:00Z</dcterms:created>
  <dcterms:modified xsi:type="dcterms:W3CDTF">2023-04-27T02:39:00Z</dcterms:modified>
</cp:coreProperties>
</file>